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1C" w:rsidRDefault="00B73E1C" w:rsidP="00B73E1C">
      <w:pPr>
        <w:pStyle w:val="CommentText"/>
        <w:rPr>
          <w:b/>
          <w:bCs/>
          <w:sz w:val="32"/>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1C" w:rsidRDefault="00B73E1C" w:rsidP="00B73E1C">
                            <w:r>
                              <w:rPr>
                                <w:rFonts w:eastAsiaTheme="minorHAnsi" w:cs="Arial"/>
                                <w:noProof/>
                                <w:lang w:eastAsia="en-GB"/>
                              </w:rPr>
                              <w:drawing>
                                <wp:inline distT="0" distB="0" distL="0" distR="0" wp14:anchorId="79FD9FC1" wp14:editId="11E6A74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B73E1C" w:rsidRDefault="00B73E1C" w:rsidP="00B73E1C">
                      <w:r>
                        <w:rPr>
                          <w:rFonts w:eastAsiaTheme="minorHAnsi" w:cs="Arial"/>
                          <w:noProof/>
                          <w:lang w:eastAsia="en-GB"/>
                        </w:rPr>
                        <w:drawing>
                          <wp:inline distT="0" distB="0" distL="0" distR="0" wp14:anchorId="79FD9FC1" wp14:editId="11E6A74D">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Pr>
          <w:b/>
          <w:bCs/>
          <w:sz w:val="32"/>
          <w:u w:val="single"/>
        </w:rPr>
        <w:t xml:space="preserve">                                                                               </w:t>
      </w:r>
    </w:p>
    <w:p w:rsidR="00B73E1C" w:rsidRDefault="00B73E1C" w:rsidP="00B73E1C">
      <w:pPr>
        <w:tabs>
          <w:tab w:val="left" w:pos="2160"/>
        </w:tabs>
        <w:rPr>
          <w:rFonts w:cs="Arial"/>
          <w:b/>
          <w:bCs/>
        </w:rPr>
      </w:pPr>
      <w:r>
        <w:rPr>
          <w:rFonts w:cs="Arial"/>
          <w:b/>
          <w:bCs/>
        </w:rPr>
        <w:t xml:space="preserve">To: </w:t>
      </w:r>
      <w:r>
        <w:rPr>
          <w:rFonts w:cs="Arial"/>
          <w:bCs/>
        </w:rPr>
        <w:t>Council</w:t>
      </w:r>
      <w:r>
        <w:rPr>
          <w:rFonts w:cs="Arial"/>
          <w:b/>
          <w:bCs/>
        </w:rPr>
        <w:tab/>
      </w:r>
      <w:r>
        <w:rPr>
          <w:rFonts w:cs="Arial"/>
          <w:b/>
          <w:bCs/>
        </w:rPr>
        <w:tab/>
      </w:r>
      <w:r>
        <w:rPr>
          <w:rFonts w:cs="Arial"/>
          <w:b/>
          <w:bCs/>
        </w:rPr>
        <w:tab/>
      </w:r>
    </w:p>
    <w:p w:rsidR="00B73E1C" w:rsidRDefault="00B73E1C" w:rsidP="00B73E1C">
      <w:pPr>
        <w:tabs>
          <w:tab w:val="left" w:pos="2160"/>
          <w:tab w:val="left" w:pos="6300"/>
          <w:tab w:val="left" w:pos="7380"/>
        </w:tabs>
        <w:rPr>
          <w:rFonts w:cs="Arial"/>
          <w:bCs/>
        </w:rPr>
      </w:pPr>
      <w:r>
        <w:rPr>
          <w:rFonts w:cs="Arial"/>
          <w:b/>
          <w:bCs/>
        </w:rPr>
        <w:t xml:space="preserve">Date: </w:t>
      </w:r>
      <w:r w:rsidR="00804A8B">
        <w:rPr>
          <w:rFonts w:cs="Arial"/>
          <w:bCs/>
        </w:rPr>
        <w:t>8</w:t>
      </w:r>
      <w:r w:rsidR="00804A8B" w:rsidRPr="00804A8B">
        <w:rPr>
          <w:rFonts w:cs="Arial"/>
          <w:bCs/>
          <w:vertAlign w:val="superscript"/>
        </w:rPr>
        <w:t>th</w:t>
      </w:r>
      <w:r w:rsidR="00804A8B">
        <w:rPr>
          <w:rFonts w:cs="Arial"/>
          <w:bCs/>
        </w:rPr>
        <w:t xml:space="preserve"> February 2016 </w:t>
      </w:r>
    </w:p>
    <w:p w:rsidR="00B73E1C" w:rsidRPr="00442C88" w:rsidRDefault="00B73E1C" w:rsidP="00B73E1C">
      <w:pPr>
        <w:tabs>
          <w:tab w:val="left" w:pos="2160"/>
          <w:tab w:val="left" w:pos="6300"/>
          <w:tab w:val="left" w:pos="7380"/>
        </w:tabs>
        <w:rPr>
          <w:rFonts w:cs="Arial"/>
          <w:b/>
          <w:bCs/>
        </w:rPr>
      </w:pPr>
      <w:r>
        <w:rPr>
          <w:rFonts w:cs="Arial"/>
          <w:b/>
          <w:bCs/>
        </w:rPr>
        <w:t>Report of:</w:t>
      </w:r>
      <w:r>
        <w:rPr>
          <w:rFonts w:cs="Arial"/>
          <w:bCs/>
        </w:rPr>
        <w:t xml:space="preserve"> </w:t>
      </w:r>
      <w:r w:rsidR="00804A8B">
        <w:rPr>
          <w:rFonts w:cs="Arial"/>
          <w:bCs/>
        </w:rPr>
        <w:t>Regeneration and Partnerships</w:t>
      </w:r>
    </w:p>
    <w:p w:rsidR="00B73E1C" w:rsidRDefault="00B73E1C" w:rsidP="00B73E1C">
      <w:pPr>
        <w:tabs>
          <w:tab w:val="left" w:pos="2160"/>
        </w:tabs>
        <w:rPr>
          <w:rFonts w:cs="Arial"/>
          <w:b/>
          <w:bCs/>
        </w:rPr>
      </w:pPr>
      <w:r>
        <w:rPr>
          <w:rFonts w:cs="Arial"/>
          <w:b/>
          <w:bCs/>
        </w:rPr>
        <w:t xml:space="preserve">Title of Report: </w:t>
      </w:r>
      <w:r w:rsidR="00D20D97">
        <w:rPr>
          <w:rFonts w:cs="Arial"/>
          <w:b/>
          <w:bCs/>
        </w:rPr>
        <w:t xml:space="preserve"> </w:t>
      </w:r>
      <w:r w:rsidR="00804A8B" w:rsidRPr="000E61EE">
        <w:rPr>
          <w:rFonts w:cs="Arial"/>
          <w:bCs/>
        </w:rPr>
        <w:t>The Oxfordshire Local Enterprise Partnership</w:t>
      </w:r>
    </w:p>
    <w:p w:rsidR="00804A8B" w:rsidRPr="00804A8B" w:rsidRDefault="00804A8B" w:rsidP="00804A8B">
      <w:pPr>
        <w:pBdr>
          <w:top w:val="single" w:sz="4" w:space="1" w:color="auto"/>
          <w:left w:val="single" w:sz="4" w:space="4" w:color="auto"/>
          <w:bottom w:val="single" w:sz="4" w:space="1" w:color="auto"/>
          <w:right w:val="single" w:sz="4" w:space="4" w:color="auto"/>
        </w:pBdr>
        <w:jc w:val="center"/>
        <w:rPr>
          <w:b/>
          <w:bCs/>
          <w:u w:val="single"/>
        </w:rPr>
      </w:pPr>
      <w:r w:rsidRPr="00804A8B">
        <w:rPr>
          <w:b/>
          <w:bCs/>
          <w:u w:val="single"/>
        </w:rPr>
        <w:t>Summary and Recommendations</w:t>
      </w:r>
    </w:p>
    <w:p w:rsidR="00804A8B" w:rsidRPr="00804A8B" w:rsidRDefault="00804A8B" w:rsidP="00804A8B">
      <w:pPr>
        <w:pBdr>
          <w:top w:val="single" w:sz="4" w:space="1" w:color="auto"/>
          <w:left w:val="single" w:sz="4" w:space="4" w:color="auto"/>
          <w:bottom w:val="single" w:sz="4" w:space="1" w:color="auto"/>
          <w:right w:val="single" w:sz="4" w:space="4" w:color="auto"/>
        </w:pBdr>
        <w:rPr>
          <w:b/>
          <w:bCs/>
          <w:u w:val="single"/>
        </w:rPr>
      </w:pPr>
      <w:r w:rsidRPr="00804A8B">
        <w:rPr>
          <w:b/>
          <w:bCs/>
          <w:u w:val="single"/>
        </w:rPr>
        <w:t xml:space="preserve">Purpose of report: </w:t>
      </w:r>
      <w:r w:rsidRPr="00804A8B">
        <w:rPr>
          <w:bCs/>
        </w:rPr>
        <w:t>To provide members with an update on the work of the Oxfordshire Local Enterprise Partnership</w:t>
      </w:r>
      <w:r w:rsidR="00F81B64">
        <w:rPr>
          <w:bCs/>
        </w:rPr>
        <w:t xml:space="preserve"> including its changing role,</w:t>
      </w:r>
      <w:r>
        <w:rPr>
          <w:bCs/>
        </w:rPr>
        <w:t xml:space="preserve"> recent strategic developments,</w:t>
      </w:r>
      <w:r w:rsidR="00F81B64">
        <w:rPr>
          <w:bCs/>
        </w:rPr>
        <w:t xml:space="preserve"> and impact on</w:t>
      </w:r>
      <w:r>
        <w:rPr>
          <w:bCs/>
        </w:rPr>
        <w:t xml:space="preserve"> funding attraction and delivery.</w:t>
      </w:r>
    </w:p>
    <w:p w:rsidR="00804A8B" w:rsidRPr="00804A8B" w:rsidRDefault="00804A8B" w:rsidP="00804A8B">
      <w:pPr>
        <w:pBdr>
          <w:top w:val="single" w:sz="4" w:space="1" w:color="auto"/>
          <w:left w:val="single" w:sz="4" w:space="4" w:color="auto"/>
          <w:bottom w:val="single" w:sz="4" w:space="1" w:color="auto"/>
          <w:right w:val="single" w:sz="4" w:space="4" w:color="auto"/>
        </w:pBdr>
        <w:rPr>
          <w:b/>
          <w:bCs/>
          <w:u w:val="single"/>
        </w:rPr>
      </w:pPr>
      <w:r w:rsidRPr="00804A8B">
        <w:rPr>
          <w:b/>
          <w:bCs/>
          <w:u w:val="single"/>
        </w:rPr>
        <w:t>Executive lead member:</w:t>
      </w:r>
      <w:r w:rsidRPr="00804A8B">
        <w:rPr>
          <w:b/>
          <w:bCs/>
        </w:rPr>
        <w:t xml:space="preserve"> </w:t>
      </w:r>
      <w:r w:rsidRPr="00804A8B">
        <w:rPr>
          <w:bCs/>
        </w:rPr>
        <w:t>Councillor Bob Price</w:t>
      </w:r>
    </w:p>
    <w:p w:rsidR="00804A8B" w:rsidRPr="00804A8B" w:rsidRDefault="00804A8B" w:rsidP="00804A8B">
      <w:pPr>
        <w:pBdr>
          <w:top w:val="single" w:sz="4" w:space="1" w:color="auto"/>
          <w:left w:val="single" w:sz="4" w:space="4" w:color="auto"/>
          <w:bottom w:val="single" w:sz="4" w:space="1" w:color="auto"/>
          <w:right w:val="single" w:sz="4" w:space="4" w:color="auto"/>
        </w:pBdr>
        <w:rPr>
          <w:b/>
          <w:bCs/>
          <w:u w:val="single"/>
        </w:rPr>
      </w:pPr>
      <w:r w:rsidRPr="00804A8B">
        <w:rPr>
          <w:b/>
          <w:bCs/>
          <w:u w:val="single"/>
        </w:rPr>
        <w:t>Policy Framework:</w:t>
      </w:r>
      <w:r w:rsidRPr="00804A8B">
        <w:rPr>
          <w:b/>
          <w:bCs/>
        </w:rPr>
        <w:t xml:space="preserve"> </w:t>
      </w:r>
      <w:r w:rsidRPr="00804A8B">
        <w:rPr>
          <w:bCs/>
        </w:rPr>
        <w:t>The Corporate Plan</w:t>
      </w:r>
    </w:p>
    <w:p w:rsidR="00804A8B" w:rsidRPr="00804A8B" w:rsidRDefault="00804A8B" w:rsidP="00804A8B">
      <w:pPr>
        <w:pBdr>
          <w:top w:val="single" w:sz="4" w:space="1" w:color="auto"/>
          <w:left w:val="single" w:sz="4" w:space="4" w:color="auto"/>
          <w:bottom w:val="single" w:sz="4" w:space="1" w:color="auto"/>
          <w:right w:val="single" w:sz="4" w:space="4" w:color="auto"/>
        </w:pBdr>
        <w:rPr>
          <w:b/>
          <w:bCs/>
          <w:u w:val="single"/>
        </w:rPr>
      </w:pPr>
      <w:r w:rsidRPr="00804A8B">
        <w:rPr>
          <w:b/>
          <w:bCs/>
          <w:u w:val="single"/>
        </w:rPr>
        <w:t>Recommendation:</w:t>
      </w:r>
    </w:p>
    <w:p w:rsidR="00B73E1C" w:rsidRPr="00804A8B" w:rsidRDefault="00804A8B" w:rsidP="00804A8B">
      <w:pPr>
        <w:pBdr>
          <w:top w:val="single" w:sz="4" w:space="1" w:color="auto"/>
          <w:left w:val="single" w:sz="4" w:space="4" w:color="auto"/>
          <w:bottom w:val="single" w:sz="4" w:space="1" w:color="auto"/>
          <w:right w:val="single" w:sz="4" w:space="4" w:color="auto"/>
        </w:pBdr>
        <w:rPr>
          <w:bCs/>
        </w:rPr>
      </w:pPr>
      <w:r w:rsidRPr="00804A8B">
        <w:rPr>
          <w:bCs/>
        </w:rPr>
        <w:t xml:space="preserve">1. </w:t>
      </w:r>
      <w:r w:rsidR="003258E7">
        <w:rPr>
          <w:bCs/>
        </w:rPr>
        <w:t>That the report be noted.</w:t>
      </w:r>
    </w:p>
    <w:p w:rsidR="00804A8B" w:rsidRPr="00804A8B" w:rsidRDefault="00804A8B" w:rsidP="00804A8B">
      <w:pPr>
        <w:rPr>
          <w:rFonts w:cs="Arial"/>
          <w:b/>
        </w:rPr>
      </w:pPr>
      <w:r w:rsidRPr="00804A8B">
        <w:rPr>
          <w:rFonts w:cs="Arial"/>
          <w:b/>
        </w:rPr>
        <w:t xml:space="preserve">The role </w:t>
      </w:r>
      <w:r w:rsidR="00664BE5">
        <w:rPr>
          <w:rFonts w:cs="Arial"/>
          <w:b/>
        </w:rPr>
        <w:t>and context relating to</w:t>
      </w:r>
      <w:r w:rsidRPr="00804A8B">
        <w:rPr>
          <w:rFonts w:cs="Arial"/>
          <w:b/>
        </w:rPr>
        <w:t xml:space="preserve"> the Oxfordshire Local Enterprise Partnership</w:t>
      </w:r>
    </w:p>
    <w:p w:rsidR="000639F9" w:rsidRPr="00B71E82" w:rsidRDefault="00804A8B" w:rsidP="002D2739">
      <w:pPr>
        <w:pStyle w:val="ListParagraph"/>
        <w:numPr>
          <w:ilvl w:val="0"/>
          <w:numId w:val="18"/>
        </w:numPr>
        <w:ind w:left="360"/>
        <w:rPr>
          <w:rFonts w:cs="Arial"/>
        </w:rPr>
      </w:pPr>
      <w:r w:rsidRPr="00EF67AA">
        <w:rPr>
          <w:rFonts w:cs="Arial"/>
        </w:rPr>
        <w:t>The Oxfordshire Local Enterprise Partnership (</w:t>
      </w:r>
      <w:r w:rsidR="003258E7">
        <w:rPr>
          <w:rFonts w:cs="Arial"/>
        </w:rPr>
        <w:t>Ox</w:t>
      </w:r>
      <w:r w:rsidRPr="00EF67AA">
        <w:rPr>
          <w:rFonts w:cs="Arial"/>
        </w:rPr>
        <w:t xml:space="preserve">LEP) is responsible for </w:t>
      </w:r>
      <w:r w:rsidR="00D10ABC">
        <w:rPr>
          <w:rFonts w:cs="Arial"/>
        </w:rPr>
        <w:t xml:space="preserve">facilitating </w:t>
      </w:r>
      <w:r w:rsidR="00D10ABC" w:rsidRPr="00EF67AA">
        <w:rPr>
          <w:rFonts w:cs="Arial"/>
        </w:rPr>
        <w:t>the</w:t>
      </w:r>
      <w:r w:rsidR="00D10ABC">
        <w:rPr>
          <w:rFonts w:cs="Arial"/>
        </w:rPr>
        <w:t xml:space="preserve"> strategic </w:t>
      </w:r>
      <w:r w:rsidRPr="00EF67AA">
        <w:rPr>
          <w:rFonts w:cs="Arial"/>
        </w:rPr>
        <w:t>development of the Oxfordshire economy and is now</w:t>
      </w:r>
      <w:r w:rsidR="00EF67AA" w:rsidRPr="00EF67AA">
        <w:rPr>
          <w:rFonts w:cs="Arial"/>
        </w:rPr>
        <w:t xml:space="preserve"> well</w:t>
      </w:r>
      <w:r w:rsidRPr="00EF67AA">
        <w:rPr>
          <w:rFonts w:cs="Arial"/>
        </w:rPr>
        <w:t xml:space="preserve"> established as </w:t>
      </w:r>
      <w:r w:rsidR="00EF67AA" w:rsidRPr="00EF67AA">
        <w:rPr>
          <w:rFonts w:cs="Arial"/>
        </w:rPr>
        <w:t>a key strategic partnership within</w:t>
      </w:r>
      <w:r w:rsidR="003258E7">
        <w:rPr>
          <w:rFonts w:cs="Arial"/>
        </w:rPr>
        <w:t xml:space="preserve"> </w:t>
      </w:r>
      <w:r w:rsidR="00854278">
        <w:rPr>
          <w:rFonts w:cs="Arial"/>
        </w:rPr>
        <w:t xml:space="preserve">the </w:t>
      </w:r>
      <w:r w:rsidR="00854278" w:rsidRPr="00EF67AA">
        <w:rPr>
          <w:rFonts w:cs="Arial"/>
        </w:rPr>
        <w:t>economic</w:t>
      </w:r>
      <w:r w:rsidRPr="00EF67AA">
        <w:rPr>
          <w:rFonts w:cs="Arial"/>
        </w:rPr>
        <w:t xml:space="preserve"> growth </w:t>
      </w:r>
      <w:r w:rsidR="00EF67AA" w:rsidRPr="00EF67AA">
        <w:rPr>
          <w:rFonts w:cs="Arial"/>
        </w:rPr>
        <w:t>agenda</w:t>
      </w:r>
      <w:r w:rsidRPr="00EF67AA">
        <w:rPr>
          <w:rFonts w:cs="Arial"/>
        </w:rPr>
        <w:t xml:space="preserve">. The Partnership </w:t>
      </w:r>
      <w:r w:rsidRPr="00B71E82">
        <w:rPr>
          <w:rFonts w:cs="Arial"/>
        </w:rPr>
        <w:t xml:space="preserve">appointed </w:t>
      </w:r>
      <w:r w:rsidR="003258E7">
        <w:rPr>
          <w:rFonts w:cs="Arial"/>
        </w:rPr>
        <w:t xml:space="preserve">a </w:t>
      </w:r>
      <w:r w:rsidRPr="00B71E82">
        <w:rPr>
          <w:rFonts w:cs="Arial"/>
        </w:rPr>
        <w:t>Chief Exec</w:t>
      </w:r>
      <w:r w:rsidR="00EF67AA" w:rsidRPr="00B71E82">
        <w:rPr>
          <w:rFonts w:cs="Arial"/>
        </w:rPr>
        <w:t>utive, Nigel Tipple, just over 2 years ago</w:t>
      </w:r>
      <w:r w:rsidR="00F81B64">
        <w:rPr>
          <w:rFonts w:cs="Arial"/>
        </w:rPr>
        <w:t xml:space="preserve">, </w:t>
      </w:r>
      <w:r w:rsidR="003258E7">
        <w:rPr>
          <w:rFonts w:cs="Arial"/>
        </w:rPr>
        <w:t xml:space="preserve">and he </w:t>
      </w:r>
      <w:r w:rsidR="00854278">
        <w:rPr>
          <w:rFonts w:cs="Arial"/>
        </w:rPr>
        <w:t xml:space="preserve">is </w:t>
      </w:r>
      <w:r w:rsidR="00854278" w:rsidRPr="00B71E82">
        <w:rPr>
          <w:rFonts w:cs="Arial"/>
        </w:rPr>
        <w:t>supported</w:t>
      </w:r>
      <w:r w:rsidRPr="00B71E82">
        <w:rPr>
          <w:rFonts w:cs="Arial"/>
        </w:rPr>
        <w:t xml:space="preserve"> by</w:t>
      </w:r>
      <w:r w:rsidR="00EF67AA" w:rsidRPr="00B71E82">
        <w:rPr>
          <w:rFonts w:cs="Arial"/>
        </w:rPr>
        <w:t xml:space="preserve"> a team of direct staff</w:t>
      </w:r>
      <w:r w:rsidR="00F81B64">
        <w:rPr>
          <w:rFonts w:cs="Arial"/>
        </w:rPr>
        <w:t>, seconded employees,</w:t>
      </w:r>
      <w:r w:rsidR="00EF67AA" w:rsidRPr="00B71E82">
        <w:rPr>
          <w:rFonts w:cs="Arial"/>
        </w:rPr>
        <w:t xml:space="preserve"> and wider</w:t>
      </w:r>
      <w:r w:rsidRPr="00B71E82">
        <w:rPr>
          <w:rFonts w:cs="Arial"/>
        </w:rPr>
        <w:t xml:space="preserve"> Oxfordshire County Council staff and services</w:t>
      </w:r>
      <w:r w:rsidR="00EF67AA" w:rsidRPr="00B71E82">
        <w:rPr>
          <w:rFonts w:cs="Arial"/>
        </w:rPr>
        <w:t xml:space="preserve">. </w:t>
      </w:r>
    </w:p>
    <w:p w:rsidR="00B71E82" w:rsidRPr="00B71E82" w:rsidRDefault="00B71E82" w:rsidP="002D2739">
      <w:pPr>
        <w:pStyle w:val="ListParagraph"/>
        <w:ind w:left="360"/>
        <w:rPr>
          <w:rFonts w:cs="Arial"/>
        </w:rPr>
      </w:pPr>
    </w:p>
    <w:p w:rsidR="00F90129" w:rsidRPr="00B71E82" w:rsidRDefault="00F81B64" w:rsidP="002D2739">
      <w:pPr>
        <w:pStyle w:val="ListParagraph"/>
        <w:numPr>
          <w:ilvl w:val="0"/>
          <w:numId w:val="18"/>
        </w:numPr>
        <w:ind w:left="360"/>
        <w:rPr>
          <w:rFonts w:eastAsiaTheme="minorHAnsi" w:cs="Arial"/>
        </w:rPr>
      </w:pPr>
      <w:r>
        <w:rPr>
          <w:rFonts w:cs="Arial"/>
        </w:rPr>
        <w:t>Nationally, o</w:t>
      </w:r>
      <w:r w:rsidR="000639F9" w:rsidRPr="00B71E82">
        <w:rPr>
          <w:rFonts w:eastAsiaTheme="minorHAnsi" w:cs="Arial"/>
        </w:rPr>
        <w:t xml:space="preserve">ver the past four </w:t>
      </w:r>
      <w:r>
        <w:rPr>
          <w:rFonts w:eastAsiaTheme="minorHAnsi" w:cs="Arial"/>
        </w:rPr>
        <w:t>years the Government has set a</w:t>
      </w:r>
      <w:r w:rsidR="000639F9" w:rsidRPr="00B71E82">
        <w:rPr>
          <w:rFonts w:eastAsiaTheme="minorHAnsi" w:cs="Arial"/>
        </w:rPr>
        <w:t xml:space="preserve"> path for greater devolution of decision-making to a local level. This has</w:t>
      </w:r>
      <w:r w:rsidR="003258E7">
        <w:rPr>
          <w:rFonts w:eastAsiaTheme="minorHAnsi" w:cs="Arial"/>
        </w:rPr>
        <w:t>,</w:t>
      </w:r>
      <w:r w:rsidR="000639F9" w:rsidRPr="00B71E82">
        <w:rPr>
          <w:rFonts w:eastAsiaTheme="minorHAnsi" w:cs="Arial"/>
        </w:rPr>
        <w:t xml:space="preserve"> to varying degree</w:t>
      </w:r>
      <w:r w:rsidR="00F90129" w:rsidRPr="00B71E82">
        <w:rPr>
          <w:rFonts w:eastAsiaTheme="minorHAnsi" w:cs="Arial"/>
        </w:rPr>
        <w:t>s</w:t>
      </w:r>
      <w:r w:rsidR="000639F9" w:rsidRPr="00B71E82">
        <w:rPr>
          <w:rFonts w:eastAsiaTheme="minorHAnsi" w:cs="Arial"/>
        </w:rPr>
        <w:t>, taken place through the 39 Local Enterprise Partnerships (LEPs) in conjunction with local authorities, business and educational institutions</w:t>
      </w:r>
      <w:r w:rsidR="00D10ABC">
        <w:rPr>
          <w:rFonts w:eastAsiaTheme="minorHAnsi" w:cs="Arial"/>
        </w:rPr>
        <w:t xml:space="preserve"> that also comprise the LEP’s key members</w:t>
      </w:r>
      <w:r w:rsidR="00A3356D">
        <w:rPr>
          <w:rFonts w:eastAsiaTheme="minorHAnsi" w:cs="Arial"/>
        </w:rPr>
        <w:t xml:space="preserve"> (see Point </w:t>
      </w:r>
      <w:r w:rsidR="00F83D92">
        <w:rPr>
          <w:rFonts w:eastAsiaTheme="minorHAnsi" w:cs="Arial"/>
        </w:rPr>
        <w:t>9</w:t>
      </w:r>
      <w:r w:rsidR="00A3356D">
        <w:rPr>
          <w:rFonts w:eastAsiaTheme="minorHAnsi" w:cs="Arial"/>
        </w:rPr>
        <w:t>)</w:t>
      </w:r>
      <w:r w:rsidR="000639F9" w:rsidRPr="00B71E82">
        <w:rPr>
          <w:rFonts w:eastAsiaTheme="minorHAnsi" w:cs="Arial"/>
        </w:rPr>
        <w:t xml:space="preserve">.  </w:t>
      </w:r>
    </w:p>
    <w:p w:rsidR="00B71E82" w:rsidRPr="00B71E82" w:rsidRDefault="00B71E82" w:rsidP="002D2739">
      <w:pPr>
        <w:pStyle w:val="ListParagraph"/>
        <w:ind w:left="360"/>
        <w:rPr>
          <w:rFonts w:eastAsiaTheme="minorHAnsi" w:cs="Arial"/>
        </w:rPr>
      </w:pPr>
    </w:p>
    <w:p w:rsidR="00240582" w:rsidRDefault="00240582" w:rsidP="002D2739">
      <w:pPr>
        <w:pStyle w:val="ListParagraph"/>
        <w:numPr>
          <w:ilvl w:val="0"/>
          <w:numId w:val="18"/>
        </w:numPr>
        <w:ind w:left="360"/>
        <w:rPr>
          <w:rFonts w:cs="Arial"/>
        </w:rPr>
      </w:pPr>
      <w:r w:rsidRPr="00B71E82">
        <w:rPr>
          <w:rFonts w:cs="Arial"/>
        </w:rPr>
        <w:t xml:space="preserve">There have been adjustments to the </w:t>
      </w:r>
      <w:r w:rsidR="00F23411" w:rsidRPr="00B71E82">
        <w:rPr>
          <w:rFonts w:cs="Arial"/>
        </w:rPr>
        <w:t>LEP’s structur</w:t>
      </w:r>
      <w:r w:rsidR="001941C1" w:rsidRPr="00B71E82">
        <w:rPr>
          <w:rFonts w:cs="Arial"/>
        </w:rPr>
        <w:t>e</w:t>
      </w:r>
      <w:r w:rsidR="00D10ABC">
        <w:rPr>
          <w:rFonts w:cs="Arial"/>
        </w:rPr>
        <w:t xml:space="preserve"> and membership in the last year</w:t>
      </w:r>
      <w:r w:rsidR="00F23411" w:rsidRPr="00B71E82">
        <w:rPr>
          <w:rFonts w:cs="Arial"/>
        </w:rPr>
        <w:t>.</w:t>
      </w:r>
      <w:r w:rsidR="00F81B64">
        <w:rPr>
          <w:rFonts w:cs="Arial"/>
        </w:rPr>
        <w:t xml:space="preserve"> OxLEP</w:t>
      </w:r>
      <w:r w:rsidR="00B71E82" w:rsidRPr="00B71E82">
        <w:rPr>
          <w:rFonts w:cs="Arial"/>
        </w:rPr>
        <w:t xml:space="preserve"> is now a Limited Company with n</w:t>
      </w:r>
      <w:r w:rsidR="00D10ABC">
        <w:rPr>
          <w:rFonts w:cs="Arial"/>
        </w:rPr>
        <w:t>ot for profit s</w:t>
      </w:r>
      <w:r w:rsidR="00F23411" w:rsidRPr="00B71E82">
        <w:rPr>
          <w:rFonts w:cs="Arial"/>
        </w:rPr>
        <w:t>tatus</w:t>
      </w:r>
      <w:r w:rsidR="00B71E82" w:rsidRPr="00B71E82">
        <w:rPr>
          <w:rFonts w:cs="Arial"/>
        </w:rPr>
        <w:t>,</w:t>
      </w:r>
      <w:r w:rsidR="00D10ABC">
        <w:rPr>
          <w:rFonts w:cs="Arial"/>
        </w:rPr>
        <w:t xml:space="preserve"> a change enacted</w:t>
      </w:r>
      <w:r w:rsidR="00B71E82" w:rsidRPr="00B71E82">
        <w:rPr>
          <w:rFonts w:cs="Arial"/>
        </w:rPr>
        <w:t xml:space="preserve"> </w:t>
      </w:r>
      <w:r w:rsidR="00D10ABC">
        <w:rPr>
          <w:rFonts w:cs="Arial"/>
        </w:rPr>
        <w:t>due to the move from loose partnership to one making</w:t>
      </w:r>
      <w:r w:rsidR="00A3356D">
        <w:rPr>
          <w:rFonts w:cs="Arial"/>
        </w:rPr>
        <w:t xml:space="preserve"> </w:t>
      </w:r>
      <w:r w:rsidR="00D10ABC">
        <w:rPr>
          <w:rFonts w:cs="Arial"/>
        </w:rPr>
        <w:t>i</w:t>
      </w:r>
      <w:r w:rsidR="00F81B64">
        <w:rPr>
          <w:rFonts w:cs="Arial"/>
        </w:rPr>
        <w:t>mpactful</w:t>
      </w:r>
      <w:r w:rsidR="00D10ABC">
        <w:rPr>
          <w:rFonts w:cs="Arial"/>
        </w:rPr>
        <w:t xml:space="preserve"> </w:t>
      </w:r>
      <w:r w:rsidR="00A3356D">
        <w:rPr>
          <w:rFonts w:cs="Arial"/>
        </w:rPr>
        <w:t>decisions</w:t>
      </w:r>
      <w:r w:rsidR="00F81B64">
        <w:rPr>
          <w:rFonts w:cs="Arial"/>
        </w:rPr>
        <w:t>,</w:t>
      </w:r>
      <w:r w:rsidR="00D10ABC">
        <w:rPr>
          <w:rFonts w:cs="Arial"/>
        </w:rPr>
        <w:t xml:space="preserve"> with</w:t>
      </w:r>
      <w:r w:rsidR="00A3356D">
        <w:rPr>
          <w:rFonts w:cs="Arial"/>
        </w:rPr>
        <w:t xml:space="preserve"> enhanced responsibility around funding</w:t>
      </w:r>
      <w:r w:rsidR="00F81B64">
        <w:rPr>
          <w:rFonts w:cs="Arial"/>
        </w:rPr>
        <w:t>.</w:t>
      </w:r>
      <w:r w:rsidR="00A3356D">
        <w:rPr>
          <w:rFonts w:cs="Arial"/>
        </w:rPr>
        <w:t xml:space="preserve"> </w:t>
      </w:r>
      <w:r w:rsidRPr="00240582">
        <w:rPr>
          <w:rFonts w:cs="Arial"/>
        </w:rPr>
        <w:t xml:space="preserve">Councillor Bob Price, Leader of Oxford City Council, remains as the City Council’s representative. Cllr Price is also a representative of the LEP on the Oxfordshire Skills Board. Richard Venables, Managing Partner of VSL Ltd, </w:t>
      </w:r>
      <w:r w:rsidR="00D10ABC">
        <w:rPr>
          <w:rFonts w:cs="Arial"/>
        </w:rPr>
        <w:t>is still</w:t>
      </w:r>
      <w:r w:rsidRPr="00240582">
        <w:rPr>
          <w:rFonts w:cs="Arial"/>
        </w:rPr>
        <w:t xml:space="preserve"> representative of the Oxford City business community, nominated by the Oxford Strategic Partnership</w:t>
      </w:r>
      <w:r>
        <w:rPr>
          <w:rFonts w:cs="Arial"/>
        </w:rPr>
        <w:t>.</w:t>
      </w:r>
      <w:r w:rsidR="00B6674B">
        <w:rPr>
          <w:rFonts w:cs="Arial"/>
        </w:rPr>
        <w:t xml:space="preserve"> OxLEP is due to appoint a new chair, with Adrian Shooter </w:t>
      </w:r>
      <w:r w:rsidR="00D10ABC">
        <w:rPr>
          <w:rFonts w:cs="Arial"/>
        </w:rPr>
        <w:t xml:space="preserve">CBE </w:t>
      </w:r>
      <w:r w:rsidR="00B6674B">
        <w:rPr>
          <w:rFonts w:cs="Arial"/>
        </w:rPr>
        <w:t xml:space="preserve">stepping down late in 2015. </w:t>
      </w:r>
    </w:p>
    <w:p w:rsidR="00240582" w:rsidRPr="00240582" w:rsidRDefault="00240582" w:rsidP="002D2739">
      <w:pPr>
        <w:pStyle w:val="ListParagraph"/>
        <w:ind w:left="360"/>
        <w:rPr>
          <w:rFonts w:cs="Arial"/>
        </w:rPr>
      </w:pPr>
    </w:p>
    <w:p w:rsidR="00EF67AA" w:rsidRDefault="003048D6" w:rsidP="002D2739">
      <w:pPr>
        <w:pStyle w:val="ListParagraph"/>
        <w:numPr>
          <w:ilvl w:val="0"/>
          <w:numId w:val="18"/>
        </w:numPr>
        <w:ind w:left="360"/>
        <w:rPr>
          <w:rFonts w:cs="Arial"/>
        </w:rPr>
      </w:pPr>
      <w:r>
        <w:rPr>
          <w:rFonts w:cs="Arial"/>
        </w:rPr>
        <w:t>Key Outcomes – in the last year the LEP</w:t>
      </w:r>
      <w:r w:rsidR="00F23411">
        <w:rPr>
          <w:rFonts w:cs="Arial"/>
        </w:rPr>
        <w:t xml:space="preserve"> has</w:t>
      </w:r>
      <w:r w:rsidR="00D10ABC">
        <w:rPr>
          <w:rFonts w:cs="Arial"/>
        </w:rPr>
        <w:t>:</w:t>
      </w:r>
    </w:p>
    <w:p w:rsidR="003048D6" w:rsidRPr="003048D6" w:rsidRDefault="003048D6" w:rsidP="002D2739">
      <w:pPr>
        <w:pStyle w:val="ListParagraph"/>
        <w:ind w:left="360"/>
        <w:rPr>
          <w:rFonts w:cs="Arial"/>
        </w:rPr>
      </w:pPr>
    </w:p>
    <w:p w:rsidR="00A236D8" w:rsidRDefault="00A236D8" w:rsidP="002D2739">
      <w:pPr>
        <w:pStyle w:val="ListParagraph"/>
        <w:numPr>
          <w:ilvl w:val="1"/>
          <w:numId w:val="18"/>
        </w:numPr>
        <w:ind w:left="993"/>
        <w:rPr>
          <w:rFonts w:cs="Arial"/>
        </w:rPr>
      </w:pPr>
      <w:r>
        <w:rPr>
          <w:rFonts w:cs="Arial"/>
        </w:rPr>
        <w:lastRenderedPageBreak/>
        <w:t>Renewed its strategic investment plans across key sectors that underpin the evolving Strategic Economic Plan</w:t>
      </w:r>
      <w:r w:rsidR="003258E7">
        <w:rPr>
          <w:rFonts w:cs="Arial"/>
        </w:rPr>
        <w:t xml:space="preserve"> (SEP)</w:t>
      </w:r>
    </w:p>
    <w:p w:rsidR="00A236D8" w:rsidRDefault="00671823" w:rsidP="002D2739">
      <w:pPr>
        <w:pStyle w:val="ListParagraph"/>
        <w:numPr>
          <w:ilvl w:val="1"/>
          <w:numId w:val="18"/>
        </w:numPr>
        <w:ind w:left="993"/>
        <w:rPr>
          <w:rFonts w:cs="Arial"/>
        </w:rPr>
      </w:pPr>
      <w:r>
        <w:rPr>
          <w:rFonts w:cs="Arial"/>
        </w:rPr>
        <w:t>Attracted significant</w:t>
      </w:r>
      <w:r w:rsidR="00A236D8">
        <w:rPr>
          <w:rFonts w:cs="Arial"/>
        </w:rPr>
        <w:t xml:space="preserve"> funding for growth and infrastructure</w:t>
      </w:r>
      <w:r>
        <w:rPr>
          <w:rFonts w:cs="Arial"/>
        </w:rPr>
        <w:t xml:space="preserve">, </w:t>
      </w:r>
      <w:r w:rsidR="00A236D8">
        <w:rPr>
          <w:rFonts w:cs="Arial"/>
        </w:rPr>
        <w:t>progressing to delivery phases on City Deal, Growth Deal and European Structural Funds projects</w:t>
      </w:r>
    </w:p>
    <w:p w:rsidR="003048D6" w:rsidRDefault="003048D6" w:rsidP="002D2739">
      <w:pPr>
        <w:pStyle w:val="ListParagraph"/>
        <w:numPr>
          <w:ilvl w:val="1"/>
          <w:numId w:val="18"/>
        </w:numPr>
        <w:ind w:left="993"/>
        <w:rPr>
          <w:rFonts w:cs="Arial"/>
        </w:rPr>
      </w:pPr>
      <w:r>
        <w:rPr>
          <w:rFonts w:cs="Arial"/>
        </w:rPr>
        <w:t>P</w:t>
      </w:r>
      <w:r w:rsidR="00F23411">
        <w:rPr>
          <w:rFonts w:cs="Arial"/>
        </w:rPr>
        <w:t xml:space="preserve">layed a </w:t>
      </w:r>
      <w:r w:rsidR="00303689">
        <w:rPr>
          <w:rFonts w:cs="Arial"/>
        </w:rPr>
        <w:t>coordinating role</w:t>
      </w:r>
      <w:r w:rsidR="00F23411">
        <w:rPr>
          <w:rFonts w:cs="Arial"/>
        </w:rPr>
        <w:t xml:space="preserve"> </w:t>
      </w:r>
      <w:r w:rsidR="00303689">
        <w:rPr>
          <w:rFonts w:cs="Arial"/>
        </w:rPr>
        <w:t xml:space="preserve">developing and negotiating a draft </w:t>
      </w:r>
      <w:r>
        <w:rPr>
          <w:rFonts w:cs="Arial"/>
        </w:rPr>
        <w:t xml:space="preserve">Devolution </w:t>
      </w:r>
      <w:r w:rsidR="00A236D8">
        <w:rPr>
          <w:rFonts w:cs="Arial"/>
        </w:rPr>
        <w:t>D</w:t>
      </w:r>
      <w:r w:rsidR="00F23411">
        <w:rPr>
          <w:rFonts w:cs="Arial"/>
        </w:rPr>
        <w:t xml:space="preserve">eal with Government. </w:t>
      </w:r>
    </w:p>
    <w:p w:rsidR="00FF2B91" w:rsidRDefault="00FF2B91" w:rsidP="002D2739">
      <w:pPr>
        <w:pStyle w:val="ListParagraph"/>
        <w:numPr>
          <w:ilvl w:val="1"/>
          <w:numId w:val="18"/>
        </w:numPr>
        <w:ind w:left="993"/>
        <w:rPr>
          <w:rFonts w:cs="Arial"/>
        </w:rPr>
      </w:pPr>
      <w:r>
        <w:rPr>
          <w:rFonts w:cs="Arial"/>
        </w:rPr>
        <w:t>Enhancing the business support and skills related support available to local business</w:t>
      </w:r>
      <w:r w:rsidR="001941C1">
        <w:rPr>
          <w:rFonts w:cs="Arial"/>
        </w:rPr>
        <w:t xml:space="preserve"> uti</w:t>
      </w:r>
      <w:r w:rsidR="00F23411">
        <w:rPr>
          <w:rFonts w:cs="Arial"/>
        </w:rPr>
        <w:t>lising European and national funds</w:t>
      </w:r>
    </w:p>
    <w:p w:rsidR="00E23043" w:rsidRDefault="00A236D8" w:rsidP="002D2739">
      <w:pPr>
        <w:pStyle w:val="ListParagraph"/>
        <w:numPr>
          <w:ilvl w:val="1"/>
          <w:numId w:val="18"/>
        </w:numPr>
        <w:ind w:left="993"/>
        <w:rPr>
          <w:rFonts w:cs="Arial"/>
        </w:rPr>
      </w:pPr>
      <w:r>
        <w:rPr>
          <w:rFonts w:cs="Arial"/>
        </w:rPr>
        <w:t xml:space="preserve">In </w:t>
      </w:r>
      <w:r w:rsidR="00671823">
        <w:rPr>
          <w:rFonts w:cs="Arial"/>
        </w:rPr>
        <w:t>line with the</w:t>
      </w:r>
      <w:r>
        <w:rPr>
          <w:rFonts w:cs="Arial"/>
        </w:rPr>
        <w:t xml:space="preserve"> above outcomes, it has helped to create</w:t>
      </w:r>
      <w:r w:rsidR="00FF2B91" w:rsidRPr="00A236D8">
        <w:rPr>
          <w:rFonts w:cs="Arial"/>
        </w:rPr>
        <w:t xml:space="preserve"> a closer working partnership</w:t>
      </w:r>
      <w:r w:rsidR="00F23411" w:rsidRPr="00A236D8">
        <w:rPr>
          <w:rFonts w:cs="Arial"/>
        </w:rPr>
        <w:t xml:space="preserve"> and shared agenda</w:t>
      </w:r>
      <w:r w:rsidR="00FF2B91" w:rsidRPr="00A236D8">
        <w:rPr>
          <w:rFonts w:cs="Arial"/>
        </w:rPr>
        <w:t xml:space="preserve"> between key </w:t>
      </w:r>
      <w:r>
        <w:rPr>
          <w:rFonts w:cs="Arial"/>
        </w:rPr>
        <w:t>s</w:t>
      </w:r>
      <w:r w:rsidR="00FF2B91" w:rsidRPr="00A236D8">
        <w:rPr>
          <w:rFonts w:cs="Arial"/>
        </w:rPr>
        <w:t>takeholders</w:t>
      </w:r>
      <w:r w:rsidR="00F23411" w:rsidRPr="00A236D8">
        <w:rPr>
          <w:rFonts w:cs="Arial"/>
        </w:rPr>
        <w:t>.</w:t>
      </w:r>
    </w:p>
    <w:p w:rsidR="00A236D8" w:rsidRPr="00A236D8" w:rsidRDefault="00A236D8" w:rsidP="00A236D8">
      <w:pPr>
        <w:pStyle w:val="ListParagraph"/>
        <w:ind w:left="1440"/>
        <w:rPr>
          <w:rFonts w:cs="Arial"/>
        </w:rPr>
      </w:pPr>
    </w:p>
    <w:p w:rsidR="00E23043" w:rsidRDefault="00B71E82" w:rsidP="00E23043">
      <w:pPr>
        <w:pStyle w:val="ListParagraph"/>
        <w:numPr>
          <w:ilvl w:val="0"/>
          <w:numId w:val="18"/>
        </w:numPr>
        <w:rPr>
          <w:rFonts w:cs="Arial"/>
        </w:rPr>
      </w:pPr>
      <w:r>
        <w:rPr>
          <w:rFonts w:cs="Arial"/>
          <w:u w:val="single"/>
        </w:rPr>
        <w:t>Strategy and Investment Planning</w:t>
      </w:r>
      <w:r w:rsidRPr="00B71E82">
        <w:rPr>
          <w:rFonts w:cs="Arial"/>
          <w:u w:val="single"/>
        </w:rPr>
        <w:t>:</w:t>
      </w:r>
      <w:r w:rsidR="00E23043">
        <w:rPr>
          <w:rFonts w:cs="Arial"/>
        </w:rPr>
        <w:t xml:space="preserve"> </w:t>
      </w:r>
      <w:r w:rsidR="003258E7">
        <w:rPr>
          <w:rFonts w:cs="Arial"/>
        </w:rPr>
        <w:t>Ox</w:t>
      </w:r>
      <w:r w:rsidR="00E23043">
        <w:rPr>
          <w:rFonts w:cs="Arial"/>
        </w:rPr>
        <w:t xml:space="preserve">LEP’s Strategic Vision remains </w:t>
      </w:r>
      <w:r w:rsidR="00A236D8">
        <w:rPr>
          <w:rFonts w:cs="Arial"/>
        </w:rPr>
        <w:t xml:space="preserve">the same; </w:t>
      </w:r>
      <w:r w:rsidR="00E23043">
        <w:rPr>
          <w:rFonts w:cs="Arial"/>
        </w:rPr>
        <w:t>‘</w:t>
      </w:r>
      <w:r w:rsidR="00E23043" w:rsidRPr="00A236D8">
        <w:rPr>
          <w:rFonts w:cs="Arial"/>
          <w:i/>
        </w:rPr>
        <w:t>By 2030 we will have strengthened Oxfordshire's position as a vibrant, sustainable, inclusive, world leading economy, driven by innovation, enterprise and research excellence.’</w:t>
      </w:r>
      <w:r w:rsidR="001D12A6">
        <w:rPr>
          <w:rFonts w:cs="Arial"/>
        </w:rPr>
        <w:t xml:space="preserve"> The four key themes</w:t>
      </w:r>
      <w:r w:rsidR="00E23043">
        <w:rPr>
          <w:rFonts w:cs="Arial"/>
        </w:rPr>
        <w:t xml:space="preserve"> that drive the SEP are </w:t>
      </w:r>
      <w:r w:rsidR="001D12A6">
        <w:rPr>
          <w:rFonts w:cs="Arial"/>
        </w:rPr>
        <w:t xml:space="preserve">Innovative </w:t>
      </w:r>
      <w:r w:rsidR="00E23043" w:rsidRPr="001D12A6">
        <w:rPr>
          <w:rFonts w:cs="Arial"/>
          <w:b/>
        </w:rPr>
        <w:t>People, Place, Enterprise and Connectivity</w:t>
      </w:r>
      <w:r w:rsidR="00E23043">
        <w:rPr>
          <w:rFonts w:cs="Arial"/>
        </w:rPr>
        <w:t xml:space="preserve">. </w:t>
      </w:r>
      <w:r w:rsidR="001D12A6">
        <w:rPr>
          <w:rFonts w:cs="Arial"/>
        </w:rPr>
        <w:t xml:space="preserve">Whilst the over-arching themes are </w:t>
      </w:r>
      <w:r w:rsidR="00A3356D">
        <w:rPr>
          <w:rFonts w:cs="Arial"/>
        </w:rPr>
        <w:t xml:space="preserve">still </w:t>
      </w:r>
      <w:r w:rsidR="001D12A6">
        <w:rPr>
          <w:rFonts w:cs="Arial"/>
        </w:rPr>
        <w:t>relevant, the</w:t>
      </w:r>
      <w:r w:rsidR="00E23043">
        <w:rPr>
          <w:rFonts w:cs="Arial"/>
        </w:rPr>
        <w:t xml:space="preserve"> LEP has recently appointed consultants to refresh the Strategic Economic Plan</w:t>
      </w:r>
      <w:r w:rsidR="00A236D8">
        <w:rPr>
          <w:rFonts w:cs="Arial"/>
        </w:rPr>
        <w:t>.</w:t>
      </w:r>
      <w:r w:rsidR="00E23043">
        <w:rPr>
          <w:rFonts w:cs="Arial"/>
        </w:rPr>
        <w:t xml:space="preserve"> This is in response </w:t>
      </w:r>
      <w:r w:rsidR="001D12A6">
        <w:rPr>
          <w:rFonts w:cs="Arial"/>
        </w:rPr>
        <w:t xml:space="preserve">to </w:t>
      </w:r>
      <w:r w:rsidR="007661A9">
        <w:rPr>
          <w:rFonts w:cs="Arial"/>
        </w:rPr>
        <w:t>a need to</w:t>
      </w:r>
      <w:r w:rsidR="00A236D8">
        <w:rPr>
          <w:rFonts w:cs="Arial"/>
        </w:rPr>
        <w:t>;</w:t>
      </w:r>
      <w:r w:rsidR="007661A9">
        <w:rPr>
          <w:rFonts w:cs="Arial"/>
        </w:rPr>
        <w:t xml:space="preserve"> check and evolve the vision over time</w:t>
      </w:r>
      <w:r w:rsidR="00A3356D">
        <w:rPr>
          <w:rFonts w:cs="Arial"/>
        </w:rPr>
        <w:t xml:space="preserve">, </w:t>
      </w:r>
      <w:r w:rsidR="00A236D8">
        <w:rPr>
          <w:rFonts w:cs="Arial"/>
        </w:rPr>
        <w:t xml:space="preserve">consult more widely, reflect an </w:t>
      </w:r>
      <w:r w:rsidR="00A3356D">
        <w:rPr>
          <w:rFonts w:cs="Arial"/>
        </w:rPr>
        <w:t xml:space="preserve">altered national context, </w:t>
      </w:r>
      <w:r w:rsidR="007661A9">
        <w:rPr>
          <w:rFonts w:cs="Arial"/>
        </w:rPr>
        <w:t xml:space="preserve">and </w:t>
      </w:r>
      <w:r w:rsidR="00A236D8">
        <w:rPr>
          <w:rFonts w:cs="Arial"/>
        </w:rPr>
        <w:t>meet the</w:t>
      </w:r>
      <w:r w:rsidR="001D12A6">
        <w:rPr>
          <w:rFonts w:cs="Arial"/>
        </w:rPr>
        <w:t xml:space="preserve"> investment needs identified in each of the SEP’s five </w:t>
      </w:r>
      <w:r w:rsidR="00A3356D">
        <w:rPr>
          <w:rFonts w:cs="Arial"/>
        </w:rPr>
        <w:t xml:space="preserve">Strategic </w:t>
      </w:r>
      <w:r w:rsidR="00A236D8">
        <w:rPr>
          <w:rFonts w:cs="Arial"/>
        </w:rPr>
        <w:t>Investment Plans. These</w:t>
      </w:r>
      <w:r w:rsidR="000621DF">
        <w:rPr>
          <w:rFonts w:cs="Arial"/>
        </w:rPr>
        <w:t xml:space="preserve"> plans</w:t>
      </w:r>
      <w:r w:rsidR="00A236D8">
        <w:rPr>
          <w:rFonts w:cs="Arial"/>
        </w:rPr>
        <w:t xml:space="preserve"> include</w:t>
      </w:r>
      <w:r w:rsidR="00A3356D">
        <w:rPr>
          <w:rFonts w:cs="Arial"/>
        </w:rPr>
        <w:t>:</w:t>
      </w:r>
    </w:p>
    <w:p w:rsidR="00A3356D" w:rsidRDefault="00A3356D" w:rsidP="00A3356D">
      <w:pPr>
        <w:pStyle w:val="ListParagraph"/>
        <w:rPr>
          <w:rFonts w:cs="Arial"/>
        </w:rPr>
      </w:pPr>
    </w:p>
    <w:p w:rsidR="00E23043" w:rsidRDefault="001D12A6" w:rsidP="002D2739">
      <w:pPr>
        <w:pStyle w:val="ListParagraph"/>
        <w:numPr>
          <w:ilvl w:val="1"/>
          <w:numId w:val="18"/>
        </w:numPr>
        <w:ind w:left="993"/>
        <w:rPr>
          <w:rFonts w:cs="Arial"/>
        </w:rPr>
      </w:pPr>
      <w:r>
        <w:rPr>
          <w:rFonts w:cs="Arial"/>
        </w:rPr>
        <w:t>Innovation Investment Plan</w:t>
      </w:r>
      <w:r w:rsidR="00A045D5">
        <w:rPr>
          <w:rFonts w:cs="Arial"/>
        </w:rPr>
        <w:t xml:space="preserve"> (in development)</w:t>
      </w:r>
    </w:p>
    <w:p w:rsidR="00A045D5" w:rsidRDefault="00A045D5" w:rsidP="002D2739">
      <w:pPr>
        <w:pStyle w:val="ListParagraph"/>
        <w:numPr>
          <w:ilvl w:val="1"/>
          <w:numId w:val="18"/>
        </w:numPr>
        <w:ind w:left="993"/>
        <w:rPr>
          <w:rFonts w:cs="Arial"/>
        </w:rPr>
      </w:pPr>
      <w:r>
        <w:rPr>
          <w:rFonts w:cs="Arial"/>
        </w:rPr>
        <w:t>Oxfordshire Skills Strategy (published</w:t>
      </w:r>
      <w:r w:rsidR="00D10ABC">
        <w:rPr>
          <w:rFonts w:cs="Arial"/>
        </w:rPr>
        <w:t xml:space="preserve"> and led by Oxfordshire Skills Board</w:t>
      </w:r>
      <w:r>
        <w:rPr>
          <w:rFonts w:cs="Arial"/>
        </w:rPr>
        <w:t>)</w:t>
      </w:r>
    </w:p>
    <w:p w:rsidR="001D12A6" w:rsidRDefault="001D12A6" w:rsidP="002D2739">
      <w:pPr>
        <w:pStyle w:val="ListParagraph"/>
        <w:numPr>
          <w:ilvl w:val="1"/>
          <w:numId w:val="18"/>
        </w:numPr>
        <w:ind w:left="993"/>
        <w:rPr>
          <w:rFonts w:cs="Arial"/>
        </w:rPr>
      </w:pPr>
      <w:r>
        <w:rPr>
          <w:rFonts w:cs="Arial"/>
        </w:rPr>
        <w:t>Strategic Environment and Economy Investment Plan</w:t>
      </w:r>
      <w:r w:rsidR="00A045D5">
        <w:rPr>
          <w:rFonts w:cs="Arial"/>
        </w:rPr>
        <w:t xml:space="preserve"> (p</w:t>
      </w:r>
      <w:r w:rsidR="007661A9">
        <w:rPr>
          <w:rFonts w:cs="Arial"/>
        </w:rPr>
        <w:t>ublished)</w:t>
      </w:r>
    </w:p>
    <w:p w:rsidR="00A045D5" w:rsidRDefault="00A045D5" w:rsidP="002D2739">
      <w:pPr>
        <w:pStyle w:val="ListParagraph"/>
        <w:numPr>
          <w:ilvl w:val="1"/>
          <w:numId w:val="18"/>
        </w:numPr>
        <w:ind w:left="993"/>
        <w:rPr>
          <w:rFonts w:cs="Arial"/>
        </w:rPr>
      </w:pPr>
      <w:r>
        <w:rPr>
          <w:rFonts w:cs="Arial"/>
        </w:rPr>
        <w:t>Creative, Cultural, Heritage and Tourism Investment Plan</w:t>
      </w:r>
      <w:r w:rsidR="007661A9">
        <w:rPr>
          <w:rFonts w:cs="Arial"/>
        </w:rPr>
        <w:t xml:space="preserve"> (published</w:t>
      </w:r>
      <w:r w:rsidR="00D10ABC">
        <w:rPr>
          <w:rFonts w:cs="Arial"/>
        </w:rPr>
        <w:t xml:space="preserve"> in draft</w:t>
      </w:r>
      <w:r w:rsidR="007661A9">
        <w:rPr>
          <w:rFonts w:cs="Arial"/>
        </w:rPr>
        <w:t>)</w:t>
      </w:r>
    </w:p>
    <w:p w:rsidR="00A236D8" w:rsidRDefault="007661A9" w:rsidP="002D2739">
      <w:pPr>
        <w:pStyle w:val="ListParagraph"/>
        <w:numPr>
          <w:ilvl w:val="1"/>
          <w:numId w:val="18"/>
        </w:numPr>
        <w:ind w:left="993"/>
        <w:rPr>
          <w:rFonts w:cs="Arial"/>
        </w:rPr>
      </w:pPr>
      <w:r>
        <w:rPr>
          <w:rFonts w:cs="Arial"/>
        </w:rPr>
        <w:t>Connecting Oxfordshire (</w:t>
      </w:r>
      <w:r w:rsidR="00D10ABC">
        <w:rPr>
          <w:rFonts w:cs="Arial"/>
        </w:rPr>
        <w:t>led</w:t>
      </w:r>
      <w:r w:rsidR="00A3356D">
        <w:rPr>
          <w:rFonts w:cs="Arial"/>
        </w:rPr>
        <w:t xml:space="preserve"> by Oxfordshire County Council</w:t>
      </w:r>
      <w:r>
        <w:rPr>
          <w:rFonts w:cs="Arial"/>
        </w:rPr>
        <w:t>)</w:t>
      </w:r>
      <w:r w:rsidR="00A3356D">
        <w:rPr>
          <w:rFonts w:cs="Arial"/>
        </w:rPr>
        <w:t>.</w:t>
      </w:r>
    </w:p>
    <w:p w:rsidR="00A236D8" w:rsidRDefault="00A236D8" w:rsidP="00A236D8">
      <w:pPr>
        <w:pStyle w:val="ListParagraph"/>
        <w:ind w:left="1440"/>
        <w:rPr>
          <w:rFonts w:cs="Arial"/>
        </w:rPr>
      </w:pPr>
    </w:p>
    <w:p w:rsidR="00A3356D" w:rsidRPr="00A236D8" w:rsidRDefault="007661A9" w:rsidP="007661A9">
      <w:pPr>
        <w:pStyle w:val="ListParagraph"/>
        <w:numPr>
          <w:ilvl w:val="0"/>
          <w:numId w:val="18"/>
        </w:numPr>
        <w:rPr>
          <w:rFonts w:cs="Arial"/>
        </w:rPr>
      </w:pPr>
      <w:r w:rsidRPr="00A236D8">
        <w:rPr>
          <w:rFonts w:cs="Arial"/>
        </w:rPr>
        <w:t xml:space="preserve">The </w:t>
      </w:r>
      <w:r w:rsidR="00854278" w:rsidRPr="00A236D8">
        <w:rPr>
          <w:rFonts w:cs="Arial"/>
        </w:rPr>
        <w:t xml:space="preserve">role of </w:t>
      </w:r>
      <w:r w:rsidR="00854278">
        <w:rPr>
          <w:rFonts w:cs="Arial"/>
        </w:rPr>
        <w:t>the</w:t>
      </w:r>
      <w:r w:rsidR="00854278" w:rsidRPr="00A236D8">
        <w:rPr>
          <w:rFonts w:cs="Arial"/>
        </w:rPr>
        <w:t xml:space="preserve"> Investment Plans </w:t>
      </w:r>
      <w:r w:rsidR="00854278">
        <w:rPr>
          <w:rFonts w:cs="Arial"/>
        </w:rPr>
        <w:t>is</w:t>
      </w:r>
      <w:r w:rsidRPr="00A236D8">
        <w:rPr>
          <w:rFonts w:cs="Arial"/>
        </w:rPr>
        <w:t xml:space="preserve"> to articulate in detail the projects and programmes that will deliver the aim of growing the Oxfordshire economy. The Investment Plans </w:t>
      </w:r>
      <w:r w:rsidR="00A236D8" w:rsidRPr="00A236D8">
        <w:rPr>
          <w:rFonts w:cs="Arial"/>
        </w:rPr>
        <w:t>are intended</w:t>
      </w:r>
      <w:r w:rsidRPr="00A236D8">
        <w:rPr>
          <w:rFonts w:cs="Arial"/>
        </w:rPr>
        <w:t xml:space="preserve"> be evidence-based and identify specific projects to be delivered. </w:t>
      </w:r>
      <w:r w:rsidR="00A236D8" w:rsidRPr="00A236D8">
        <w:rPr>
          <w:rFonts w:cs="Arial"/>
        </w:rPr>
        <w:t xml:space="preserve">The intention is for these plans to </w:t>
      </w:r>
      <w:r w:rsidRPr="00A236D8">
        <w:rPr>
          <w:rFonts w:cs="Arial"/>
        </w:rPr>
        <w:t>allow agencies to react quickly when funding becomes available</w:t>
      </w:r>
      <w:r w:rsidR="00A236D8" w:rsidRPr="00A236D8">
        <w:rPr>
          <w:rFonts w:cs="Arial"/>
        </w:rPr>
        <w:t xml:space="preserve">. </w:t>
      </w:r>
      <w:r w:rsidR="00A3356D" w:rsidRPr="00A236D8">
        <w:rPr>
          <w:rFonts w:cs="Arial"/>
        </w:rPr>
        <w:t>The SEP refresh will consult widely with key stakeholders and is programmed for completion in the summer, which approximately coincides with the devolution timetab</w:t>
      </w:r>
      <w:r w:rsidR="00F83D92">
        <w:rPr>
          <w:rFonts w:cs="Arial"/>
        </w:rPr>
        <w:t>le.</w:t>
      </w:r>
    </w:p>
    <w:p w:rsidR="00B71E82" w:rsidRDefault="00B71E82" w:rsidP="00B71E82">
      <w:pPr>
        <w:pStyle w:val="ListParagraph"/>
        <w:ind w:left="1440"/>
        <w:rPr>
          <w:rFonts w:cs="Arial"/>
        </w:rPr>
      </w:pPr>
    </w:p>
    <w:p w:rsidR="00B71E82" w:rsidRDefault="00B71E82" w:rsidP="00B71E82">
      <w:pPr>
        <w:pStyle w:val="ListParagraph"/>
        <w:numPr>
          <w:ilvl w:val="0"/>
          <w:numId w:val="18"/>
        </w:numPr>
        <w:rPr>
          <w:rFonts w:eastAsiaTheme="minorHAnsi" w:cs="Arial"/>
        </w:rPr>
      </w:pPr>
      <w:r w:rsidRPr="00BE33B4">
        <w:rPr>
          <w:rFonts w:eastAsiaTheme="minorHAnsi" w:cs="Arial"/>
          <w:u w:val="single"/>
        </w:rPr>
        <w:t>Funding:</w:t>
      </w:r>
      <w:r>
        <w:rPr>
          <w:rFonts w:eastAsiaTheme="minorHAnsi" w:cs="Arial"/>
        </w:rPr>
        <w:t xml:space="preserve"> </w:t>
      </w:r>
      <w:r w:rsidR="00A236D8">
        <w:rPr>
          <w:rFonts w:eastAsiaTheme="minorHAnsi" w:cs="Arial"/>
        </w:rPr>
        <w:t>A key role of the LEP is</w:t>
      </w:r>
      <w:r>
        <w:rPr>
          <w:rFonts w:eastAsiaTheme="minorHAnsi" w:cs="Arial"/>
        </w:rPr>
        <w:t xml:space="preserve"> securing</w:t>
      </w:r>
      <w:r w:rsidR="00A236D8">
        <w:rPr>
          <w:rFonts w:eastAsiaTheme="minorHAnsi" w:cs="Arial"/>
        </w:rPr>
        <w:t xml:space="preserve"> and distributing</w:t>
      </w:r>
      <w:r>
        <w:rPr>
          <w:rFonts w:eastAsiaTheme="minorHAnsi" w:cs="Arial"/>
        </w:rPr>
        <w:t xml:space="preserve"> resources</w:t>
      </w:r>
      <w:r w:rsidR="00A3356D">
        <w:rPr>
          <w:rFonts w:eastAsiaTheme="minorHAnsi" w:cs="Arial"/>
        </w:rPr>
        <w:t xml:space="preserve"> for delivery of the SEP</w:t>
      </w:r>
      <w:r>
        <w:rPr>
          <w:rFonts w:eastAsiaTheme="minorHAnsi" w:cs="Arial"/>
        </w:rPr>
        <w:t xml:space="preserve"> through a variety of means</w:t>
      </w:r>
      <w:r w:rsidR="001C6352">
        <w:rPr>
          <w:rFonts w:eastAsiaTheme="minorHAnsi" w:cs="Arial"/>
        </w:rPr>
        <w:t>:</w:t>
      </w:r>
    </w:p>
    <w:p w:rsidR="00B71E82" w:rsidRDefault="00B71E82" w:rsidP="002D2739">
      <w:pPr>
        <w:pStyle w:val="ListParagraph"/>
        <w:numPr>
          <w:ilvl w:val="1"/>
          <w:numId w:val="18"/>
        </w:numPr>
        <w:ind w:left="993"/>
        <w:rPr>
          <w:rFonts w:eastAsiaTheme="minorHAnsi" w:cs="Arial"/>
        </w:rPr>
      </w:pPr>
      <w:r w:rsidRPr="000639F9">
        <w:rPr>
          <w:rFonts w:eastAsiaTheme="minorHAnsi" w:cs="Arial"/>
        </w:rPr>
        <w:t xml:space="preserve">In 2014 Oxfordshire was awarded £55.5m through the City Deal, </w:t>
      </w:r>
      <w:r>
        <w:rPr>
          <w:rFonts w:eastAsiaTheme="minorHAnsi" w:cs="Arial"/>
        </w:rPr>
        <w:t xml:space="preserve">this </w:t>
      </w:r>
      <w:r w:rsidRPr="000639F9">
        <w:rPr>
          <w:rFonts w:eastAsiaTheme="minorHAnsi" w:cs="Arial"/>
        </w:rPr>
        <w:t>programme that is now being delivered</w:t>
      </w:r>
      <w:r>
        <w:rPr>
          <w:rFonts w:eastAsiaTheme="minorHAnsi" w:cs="Arial"/>
        </w:rPr>
        <w:t xml:space="preserve"> across Apprenticeships, business support, infrastructure and innovation centres</w:t>
      </w:r>
      <w:r w:rsidR="00F83D92">
        <w:rPr>
          <w:rFonts w:eastAsiaTheme="minorHAnsi" w:cs="Arial"/>
        </w:rPr>
        <w:t>, focu</w:t>
      </w:r>
      <w:r w:rsidRPr="000639F9">
        <w:rPr>
          <w:rFonts w:eastAsiaTheme="minorHAnsi" w:cs="Arial"/>
        </w:rPr>
        <w:t xml:space="preserve">sing on the Oxfordshire ‘Knowledge Spine’ of Bicester – Oxford – Science Vale. </w:t>
      </w:r>
    </w:p>
    <w:p w:rsidR="00B71E82" w:rsidRPr="001C6352" w:rsidRDefault="00B71E82" w:rsidP="002D2739">
      <w:pPr>
        <w:pStyle w:val="ListParagraph"/>
        <w:numPr>
          <w:ilvl w:val="1"/>
          <w:numId w:val="18"/>
        </w:numPr>
        <w:ind w:left="993"/>
        <w:rPr>
          <w:rFonts w:eastAsiaTheme="minorHAnsi" w:cs="Arial"/>
        </w:rPr>
      </w:pPr>
      <w:r w:rsidRPr="00270A2D">
        <w:rPr>
          <w:rFonts w:eastAsiaTheme="minorHAnsi" w:cs="Arial"/>
        </w:rPr>
        <w:t xml:space="preserve">OxLEP is also now delivering a </w:t>
      </w:r>
      <w:r w:rsidR="001C6352" w:rsidRPr="001C6352">
        <w:rPr>
          <w:rFonts w:eastAsiaTheme="minorHAnsi" w:cs="Arial"/>
        </w:rPr>
        <w:t>€</w:t>
      </w:r>
      <w:r w:rsidRPr="001C6352">
        <w:rPr>
          <w:rFonts w:eastAsiaTheme="minorHAnsi" w:cs="Arial"/>
        </w:rPr>
        <w:t xml:space="preserve">19.3m Implementation Plan that sets out the process for the delivery of the priorities it articulated in the </w:t>
      </w:r>
      <w:hyperlink r:id="rId11" w:history="1">
        <w:r w:rsidRPr="001C6352">
          <w:rPr>
            <w:rFonts w:eastAsiaTheme="minorHAnsi" w:cs="Arial"/>
            <w:color w:val="0000FF" w:themeColor="hyperlink"/>
            <w:u w:val="single"/>
          </w:rPr>
          <w:t>Oxfordshire European Structural Investment Fund</w:t>
        </w:r>
        <w:r w:rsidR="001C6352">
          <w:rPr>
            <w:rFonts w:eastAsiaTheme="minorHAnsi" w:cs="Arial"/>
            <w:color w:val="0000FF" w:themeColor="hyperlink"/>
            <w:u w:val="single"/>
          </w:rPr>
          <w:t xml:space="preserve"> (ESIF)</w:t>
        </w:r>
        <w:r w:rsidRPr="001C6352">
          <w:rPr>
            <w:rFonts w:eastAsiaTheme="minorHAnsi" w:cs="Arial"/>
            <w:color w:val="0000FF" w:themeColor="hyperlink"/>
            <w:u w:val="single"/>
          </w:rPr>
          <w:t xml:space="preserve"> Strategy</w:t>
        </w:r>
      </w:hyperlink>
      <w:r w:rsidRPr="001C6352">
        <w:rPr>
          <w:rFonts w:eastAsiaTheme="minorHAnsi" w:cs="Arial"/>
        </w:rPr>
        <w:t xml:space="preserve">. This particular programme </w:t>
      </w:r>
      <w:r w:rsidR="00A3356D" w:rsidRPr="001C6352">
        <w:rPr>
          <w:rFonts w:eastAsiaTheme="minorHAnsi" w:cs="Arial"/>
        </w:rPr>
        <w:t>is</w:t>
      </w:r>
      <w:r w:rsidRPr="001C6352">
        <w:rPr>
          <w:rFonts w:eastAsiaTheme="minorHAnsi" w:cs="Arial"/>
        </w:rPr>
        <w:t xml:space="preserve"> overseen by the Oxfordshire ESIF S</w:t>
      </w:r>
      <w:r w:rsidR="001C6352">
        <w:rPr>
          <w:rFonts w:eastAsiaTheme="minorHAnsi" w:cs="Arial"/>
        </w:rPr>
        <w:t>hadow</w:t>
      </w:r>
      <w:r w:rsidRPr="001C6352">
        <w:rPr>
          <w:rFonts w:eastAsiaTheme="minorHAnsi" w:cs="Arial"/>
        </w:rPr>
        <w:t xml:space="preserve"> Committee. </w:t>
      </w:r>
      <w:r w:rsidR="00A3356D" w:rsidRPr="001C6352">
        <w:rPr>
          <w:rFonts w:eastAsiaTheme="minorHAnsi" w:cs="Arial"/>
        </w:rPr>
        <w:t xml:space="preserve">Numerous funding calls are being delivered for business support, innovation and low carbon activity. The European Social Fund </w:t>
      </w:r>
      <w:r w:rsidR="00F83D92">
        <w:rPr>
          <w:rFonts w:eastAsiaTheme="minorHAnsi" w:cs="Arial"/>
        </w:rPr>
        <w:t xml:space="preserve">element has </w:t>
      </w:r>
      <w:r w:rsidR="00F83D92">
        <w:rPr>
          <w:rFonts w:eastAsiaTheme="minorHAnsi" w:cs="Arial"/>
        </w:rPr>
        <w:lastRenderedPageBreak/>
        <w:t>been delayed at a national/</w:t>
      </w:r>
      <w:r w:rsidR="00A3356D" w:rsidRPr="001C6352">
        <w:rPr>
          <w:rFonts w:eastAsiaTheme="minorHAnsi" w:cs="Arial"/>
        </w:rPr>
        <w:t xml:space="preserve">EU level. </w:t>
      </w:r>
      <w:r w:rsidR="001C6352">
        <w:rPr>
          <w:rFonts w:eastAsiaTheme="minorHAnsi" w:cs="Arial"/>
        </w:rPr>
        <w:t>Funding support for employability training, aimed at</w:t>
      </w:r>
      <w:r w:rsidR="00A3356D" w:rsidRPr="001C6352">
        <w:rPr>
          <w:rFonts w:eastAsiaTheme="minorHAnsi" w:cs="Arial"/>
        </w:rPr>
        <w:t xml:space="preserve"> NEETS and long-term unemployed ha</w:t>
      </w:r>
      <w:r w:rsidR="001C6352">
        <w:rPr>
          <w:rFonts w:eastAsiaTheme="minorHAnsi" w:cs="Arial"/>
        </w:rPr>
        <w:t>s</w:t>
      </w:r>
      <w:r w:rsidR="00F83D92">
        <w:rPr>
          <w:rFonts w:eastAsiaTheme="minorHAnsi" w:cs="Arial"/>
        </w:rPr>
        <w:t>, however,</w:t>
      </w:r>
      <w:r w:rsidR="001C6352">
        <w:rPr>
          <w:rFonts w:eastAsiaTheme="minorHAnsi" w:cs="Arial"/>
        </w:rPr>
        <w:t xml:space="preserve"> been awarded with Big Lottery F</w:t>
      </w:r>
      <w:r w:rsidR="00A3356D" w:rsidRPr="001C6352">
        <w:rPr>
          <w:rFonts w:eastAsiaTheme="minorHAnsi" w:cs="Arial"/>
        </w:rPr>
        <w:t xml:space="preserve">und matching this. </w:t>
      </w:r>
    </w:p>
    <w:p w:rsidR="00B71E82" w:rsidRDefault="00B71E82" w:rsidP="002D2739">
      <w:pPr>
        <w:pStyle w:val="ListParagraph"/>
        <w:numPr>
          <w:ilvl w:val="1"/>
          <w:numId w:val="18"/>
        </w:numPr>
        <w:ind w:left="993"/>
        <w:rPr>
          <w:rFonts w:eastAsiaTheme="minorHAnsi" w:cs="Arial"/>
        </w:rPr>
      </w:pPr>
      <w:r w:rsidRPr="00270A2D">
        <w:rPr>
          <w:rFonts w:eastAsiaTheme="minorHAnsi" w:cs="Arial"/>
        </w:rPr>
        <w:t xml:space="preserve">Furthermore, OxLEP, through </w:t>
      </w:r>
      <w:r w:rsidR="006D4061">
        <w:rPr>
          <w:rFonts w:eastAsiaTheme="minorHAnsi" w:cs="Arial"/>
        </w:rPr>
        <w:t>the current</w:t>
      </w:r>
      <w:r w:rsidRPr="00270A2D">
        <w:rPr>
          <w:rFonts w:eastAsiaTheme="minorHAnsi" w:cs="Arial"/>
        </w:rPr>
        <w:t xml:space="preserve"> </w:t>
      </w:r>
      <w:hyperlink r:id="rId12" w:history="1">
        <w:r w:rsidRPr="00270A2D">
          <w:rPr>
            <w:rFonts w:eastAsiaTheme="minorHAnsi" w:cs="Arial"/>
            <w:color w:val="0000FF" w:themeColor="hyperlink"/>
            <w:u w:val="single"/>
          </w:rPr>
          <w:t>Strategic Economic Plan</w:t>
        </w:r>
      </w:hyperlink>
      <w:r w:rsidRPr="00270A2D">
        <w:rPr>
          <w:rFonts w:eastAsiaTheme="minorHAnsi" w:cs="Arial"/>
        </w:rPr>
        <w:t xml:space="preserve">, negotiated a £208.5 million </w:t>
      </w:r>
      <w:hyperlink r:id="rId13" w:history="1">
        <w:r w:rsidRPr="00270A2D">
          <w:rPr>
            <w:rFonts w:eastAsiaTheme="minorHAnsi" w:cs="Arial"/>
            <w:color w:val="0000FF" w:themeColor="hyperlink"/>
            <w:u w:val="single"/>
          </w:rPr>
          <w:t>Oxfordshire Growth Deal package</w:t>
        </w:r>
      </w:hyperlink>
      <w:r w:rsidRPr="00270A2D">
        <w:rPr>
          <w:rFonts w:eastAsiaTheme="minorHAnsi" w:cs="Arial"/>
        </w:rPr>
        <w:t xml:space="preserve"> for a range of transport/connectivity, business support and other projects to be delivered over the next few years.</w:t>
      </w:r>
    </w:p>
    <w:p w:rsidR="00B71E82" w:rsidRDefault="00B71E82" w:rsidP="002D2739">
      <w:pPr>
        <w:pStyle w:val="ListParagraph"/>
        <w:numPr>
          <w:ilvl w:val="1"/>
          <w:numId w:val="18"/>
        </w:numPr>
        <w:ind w:left="993"/>
        <w:rPr>
          <w:rFonts w:eastAsiaTheme="minorHAnsi" w:cs="Arial"/>
        </w:rPr>
      </w:pPr>
      <w:r>
        <w:rPr>
          <w:rFonts w:eastAsiaTheme="minorHAnsi" w:cs="Arial"/>
        </w:rPr>
        <w:t>Local Growth Fund 3 bids and Devolution related Infrastructure funds have been prepared ahead of any call to ensure a pipeline of investment ready strategic projects is in place.</w:t>
      </w:r>
      <w:r w:rsidR="00F83D92">
        <w:rPr>
          <w:rFonts w:eastAsiaTheme="minorHAnsi" w:cs="Arial"/>
        </w:rPr>
        <w:t xml:space="preserve"> Oxford has several key projects including the Station, Osney Mead Knowledge Park, and Park &amp; Ride expansion at draft business case stage.</w:t>
      </w:r>
    </w:p>
    <w:p w:rsidR="00303689" w:rsidRDefault="00303689" w:rsidP="002D2739">
      <w:pPr>
        <w:pStyle w:val="ListParagraph"/>
        <w:numPr>
          <w:ilvl w:val="1"/>
          <w:numId w:val="18"/>
        </w:numPr>
        <w:ind w:left="993"/>
        <w:rPr>
          <w:rFonts w:eastAsiaTheme="minorHAnsi" w:cs="Arial"/>
        </w:rPr>
      </w:pPr>
      <w:r>
        <w:rPr>
          <w:rFonts w:eastAsiaTheme="minorHAnsi" w:cs="Arial"/>
        </w:rPr>
        <w:t>Notab</w:t>
      </w:r>
      <w:r w:rsidR="00671823">
        <w:rPr>
          <w:rFonts w:eastAsiaTheme="minorHAnsi" w:cs="Arial"/>
        </w:rPr>
        <w:t>le funding that has benefitted O</w:t>
      </w:r>
      <w:r>
        <w:rPr>
          <w:rFonts w:eastAsiaTheme="minorHAnsi" w:cs="Arial"/>
        </w:rPr>
        <w:t>xford</w:t>
      </w:r>
      <w:r w:rsidR="00671823">
        <w:rPr>
          <w:rFonts w:eastAsiaTheme="minorHAnsi" w:cs="Arial"/>
        </w:rPr>
        <w:t xml:space="preserve"> in the report period</w:t>
      </w:r>
      <w:r>
        <w:rPr>
          <w:rFonts w:eastAsiaTheme="minorHAnsi" w:cs="Arial"/>
        </w:rPr>
        <w:t xml:space="preserve"> includes:</w:t>
      </w:r>
    </w:p>
    <w:p w:rsidR="00303689" w:rsidRDefault="00303689" w:rsidP="002D2739">
      <w:pPr>
        <w:pStyle w:val="ListParagraph"/>
        <w:numPr>
          <w:ilvl w:val="2"/>
          <w:numId w:val="18"/>
        </w:numPr>
        <w:ind w:left="1701"/>
        <w:rPr>
          <w:rFonts w:eastAsiaTheme="minorHAnsi" w:cs="Arial"/>
        </w:rPr>
      </w:pPr>
      <w:r>
        <w:rPr>
          <w:rFonts w:eastAsiaTheme="minorHAnsi" w:cs="Arial"/>
        </w:rPr>
        <w:t>Northern Gateway -£6M Local Growth Funds</w:t>
      </w:r>
    </w:p>
    <w:p w:rsidR="00303689" w:rsidRDefault="00303689" w:rsidP="002D2739">
      <w:pPr>
        <w:pStyle w:val="ListParagraph"/>
        <w:numPr>
          <w:ilvl w:val="2"/>
          <w:numId w:val="18"/>
        </w:numPr>
        <w:ind w:left="1701"/>
        <w:rPr>
          <w:rFonts w:eastAsiaTheme="minorHAnsi" w:cs="Arial"/>
        </w:rPr>
      </w:pPr>
      <w:r>
        <w:rPr>
          <w:rFonts w:eastAsiaTheme="minorHAnsi" w:cs="Arial"/>
        </w:rPr>
        <w:t>Oxpens - £3</w:t>
      </w:r>
      <w:r w:rsidR="00D500D1">
        <w:rPr>
          <w:rFonts w:eastAsiaTheme="minorHAnsi" w:cs="Arial"/>
        </w:rPr>
        <w:t>.5</w:t>
      </w:r>
      <w:r>
        <w:rPr>
          <w:rFonts w:eastAsiaTheme="minorHAnsi" w:cs="Arial"/>
        </w:rPr>
        <w:t>M</w:t>
      </w:r>
      <w:r w:rsidR="00F83D92">
        <w:rPr>
          <w:rFonts w:eastAsiaTheme="minorHAnsi" w:cs="Arial"/>
        </w:rPr>
        <w:t xml:space="preserve"> Local Growth </w:t>
      </w:r>
      <w:bookmarkStart w:id="0" w:name="_GoBack"/>
      <w:bookmarkEnd w:id="0"/>
      <w:r w:rsidR="00F83D92">
        <w:rPr>
          <w:rFonts w:eastAsiaTheme="minorHAnsi" w:cs="Arial"/>
        </w:rPr>
        <w:t>Funds (LGF)</w:t>
      </w:r>
    </w:p>
    <w:p w:rsidR="00D500D1" w:rsidRDefault="00D500D1" w:rsidP="002D2739">
      <w:pPr>
        <w:pStyle w:val="ListParagraph"/>
        <w:numPr>
          <w:ilvl w:val="2"/>
          <w:numId w:val="18"/>
        </w:numPr>
        <w:ind w:left="1701"/>
        <w:rPr>
          <w:rFonts w:eastAsiaTheme="minorHAnsi" w:cs="Arial"/>
        </w:rPr>
      </w:pPr>
      <w:r w:rsidRPr="00D500D1">
        <w:rPr>
          <w:rFonts w:eastAsiaTheme="minorHAnsi" w:cs="Arial"/>
        </w:rPr>
        <w:t xml:space="preserve">£15.2m of </w:t>
      </w:r>
      <w:r w:rsidR="00F83D92">
        <w:rPr>
          <w:rFonts w:eastAsiaTheme="minorHAnsi" w:cs="Arial"/>
        </w:rPr>
        <w:t xml:space="preserve">LGF </w:t>
      </w:r>
      <w:r w:rsidRPr="00D500D1">
        <w:rPr>
          <w:rFonts w:eastAsiaTheme="minorHAnsi" w:cs="Arial"/>
        </w:rPr>
        <w:t>funding will go towards two innovation centres based at Oxford University: the Begbroke Innovation Accelerator at Begbroke Science Park</w:t>
      </w:r>
      <w:r>
        <w:rPr>
          <w:rFonts w:eastAsiaTheme="minorHAnsi" w:cs="Arial"/>
        </w:rPr>
        <w:t xml:space="preserve"> (Cherwell)</w:t>
      </w:r>
      <w:r w:rsidRPr="00D500D1">
        <w:rPr>
          <w:rFonts w:eastAsiaTheme="minorHAnsi" w:cs="Arial"/>
        </w:rPr>
        <w:t xml:space="preserve"> and the Oxford BioEscalator at t</w:t>
      </w:r>
      <w:r w:rsidR="00F83D92">
        <w:rPr>
          <w:rFonts w:eastAsiaTheme="minorHAnsi" w:cs="Arial"/>
        </w:rPr>
        <w:t>he University's Old Road Campus.</w:t>
      </w:r>
    </w:p>
    <w:p w:rsidR="000C72A7" w:rsidRDefault="000C72A7" w:rsidP="002D2739">
      <w:pPr>
        <w:pStyle w:val="ListParagraph"/>
        <w:numPr>
          <w:ilvl w:val="2"/>
          <w:numId w:val="18"/>
        </w:numPr>
        <w:ind w:left="1701"/>
        <w:rPr>
          <w:rFonts w:eastAsiaTheme="minorHAnsi" w:cs="Arial"/>
        </w:rPr>
      </w:pPr>
      <w:r>
        <w:rPr>
          <w:rFonts w:eastAsiaTheme="minorHAnsi" w:cs="Arial"/>
        </w:rPr>
        <w:t xml:space="preserve">£26M towards the </w:t>
      </w:r>
      <w:r w:rsidR="00D500D1">
        <w:rPr>
          <w:rFonts w:eastAsiaTheme="minorHAnsi" w:cs="Arial"/>
        </w:rPr>
        <w:t>Western Flood</w:t>
      </w:r>
      <w:r>
        <w:rPr>
          <w:rFonts w:eastAsiaTheme="minorHAnsi" w:cs="Arial"/>
        </w:rPr>
        <w:t xml:space="preserve"> Relief Channel</w:t>
      </w:r>
      <w:r w:rsidR="00D500D1">
        <w:rPr>
          <w:rFonts w:eastAsiaTheme="minorHAnsi" w:cs="Arial"/>
        </w:rPr>
        <w:t>.</w:t>
      </w:r>
    </w:p>
    <w:p w:rsidR="00D500D1" w:rsidRDefault="00D500D1" w:rsidP="002D2739">
      <w:pPr>
        <w:pStyle w:val="ListParagraph"/>
        <w:numPr>
          <w:ilvl w:val="2"/>
          <w:numId w:val="18"/>
        </w:numPr>
        <w:ind w:left="1701"/>
        <w:rPr>
          <w:rFonts w:eastAsiaTheme="minorHAnsi" w:cs="Arial"/>
        </w:rPr>
      </w:pPr>
      <w:r>
        <w:rPr>
          <w:rFonts w:eastAsiaTheme="minorHAnsi" w:cs="Arial"/>
        </w:rPr>
        <w:t>Access to Headington - £8.2m</w:t>
      </w:r>
      <w:r w:rsidR="00671823">
        <w:rPr>
          <w:rFonts w:eastAsiaTheme="minorHAnsi" w:cs="Arial"/>
        </w:rPr>
        <w:t>.</w:t>
      </w:r>
    </w:p>
    <w:p w:rsidR="00D500D1" w:rsidRPr="00DF720C" w:rsidRDefault="00D500D1" w:rsidP="00D500D1">
      <w:pPr>
        <w:pStyle w:val="ListParagraph"/>
        <w:ind w:left="2160"/>
        <w:rPr>
          <w:rFonts w:eastAsiaTheme="minorHAnsi" w:cs="Arial"/>
        </w:rPr>
      </w:pPr>
    </w:p>
    <w:p w:rsidR="00B71E82" w:rsidRPr="00712100" w:rsidRDefault="00664BE5" w:rsidP="00B71E82">
      <w:pPr>
        <w:pStyle w:val="ListParagraph"/>
        <w:numPr>
          <w:ilvl w:val="0"/>
          <w:numId w:val="18"/>
        </w:numPr>
        <w:rPr>
          <w:rFonts w:cs="Arial"/>
          <w:u w:val="single"/>
        </w:rPr>
      </w:pPr>
      <w:r w:rsidRPr="00664BE5">
        <w:rPr>
          <w:rFonts w:cs="Arial"/>
          <w:u w:val="single"/>
        </w:rPr>
        <w:t>Delivery and Coordination</w:t>
      </w:r>
      <w:r w:rsidR="00712100">
        <w:rPr>
          <w:rFonts w:cs="Arial"/>
          <w:u w:val="single"/>
        </w:rPr>
        <w:t xml:space="preserve">: </w:t>
      </w:r>
      <w:r w:rsidR="000C72A7">
        <w:rPr>
          <w:rFonts w:cs="Arial"/>
        </w:rPr>
        <w:t>The LEP has moved beyond its</w:t>
      </w:r>
      <w:r w:rsidR="00712100">
        <w:rPr>
          <w:rFonts w:cs="Arial"/>
        </w:rPr>
        <w:t xml:space="preserve"> strategic</w:t>
      </w:r>
      <w:r w:rsidR="000C72A7">
        <w:rPr>
          <w:rFonts w:cs="Arial"/>
        </w:rPr>
        <w:t xml:space="preserve"> and funding role into</w:t>
      </w:r>
      <w:r w:rsidR="00712100">
        <w:rPr>
          <w:rFonts w:cs="Arial"/>
        </w:rPr>
        <w:t xml:space="preserve"> delivery and coordination</w:t>
      </w:r>
      <w:r w:rsidR="000C72A7">
        <w:rPr>
          <w:rFonts w:cs="Arial"/>
        </w:rPr>
        <w:t xml:space="preserve"> phases</w:t>
      </w:r>
      <w:r w:rsidR="00712100">
        <w:rPr>
          <w:rFonts w:cs="Arial"/>
        </w:rPr>
        <w:t>. For example;</w:t>
      </w:r>
    </w:p>
    <w:p w:rsidR="00712100" w:rsidRDefault="00712100" w:rsidP="002D2739">
      <w:pPr>
        <w:pStyle w:val="ListParagraph"/>
        <w:numPr>
          <w:ilvl w:val="1"/>
          <w:numId w:val="18"/>
        </w:numPr>
        <w:tabs>
          <w:tab w:val="left" w:pos="993"/>
        </w:tabs>
        <w:ind w:left="993"/>
        <w:rPr>
          <w:rFonts w:cs="Arial"/>
          <w:u w:val="single"/>
        </w:rPr>
      </w:pPr>
      <w:r w:rsidRPr="00DF720C">
        <w:rPr>
          <w:rFonts w:cs="Arial"/>
        </w:rPr>
        <w:t>Invest in Oxfordshire</w:t>
      </w:r>
      <w:r w:rsidR="00DF720C" w:rsidRPr="00DF720C">
        <w:rPr>
          <w:rFonts w:cs="Arial"/>
        </w:rPr>
        <w:t xml:space="preserve">: </w:t>
      </w:r>
      <w:r w:rsidR="006D4061">
        <w:rPr>
          <w:rFonts w:cs="Arial"/>
        </w:rPr>
        <w:t xml:space="preserve">Targeted to support 120 (117 to date) </w:t>
      </w:r>
      <w:r w:rsidR="00F83D92">
        <w:rPr>
          <w:rFonts w:cs="Arial"/>
        </w:rPr>
        <w:t xml:space="preserve">foreign investment </w:t>
      </w:r>
      <w:r w:rsidR="006D4061">
        <w:rPr>
          <w:rFonts w:cs="Arial"/>
        </w:rPr>
        <w:t>enquiries per annum and improve its conversion rates, the team has prepared a suit</w:t>
      </w:r>
      <w:r w:rsidR="003258E7">
        <w:rPr>
          <w:rFonts w:cs="Arial"/>
        </w:rPr>
        <w:t>e</w:t>
      </w:r>
      <w:r w:rsidR="006D4061">
        <w:rPr>
          <w:rFonts w:cs="Arial"/>
        </w:rPr>
        <w:t xml:space="preserve"> of technical, sector focussed marketing propositions for key sectors. </w:t>
      </w:r>
      <w:r w:rsidR="003A0F47">
        <w:rPr>
          <w:rFonts w:cs="Arial"/>
        </w:rPr>
        <w:t>23 successes were recorded to January 2016, supporting 430 jobs</w:t>
      </w:r>
      <w:r w:rsidR="00F83D92">
        <w:rPr>
          <w:rFonts w:cs="Arial"/>
        </w:rPr>
        <w:t>.</w:t>
      </w:r>
    </w:p>
    <w:p w:rsidR="00D500D1" w:rsidRPr="00D500D1" w:rsidRDefault="00DF720C" w:rsidP="002D2739">
      <w:pPr>
        <w:pStyle w:val="ListParagraph"/>
        <w:numPr>
          <w:ilvl w:val="1"/>
          <w:numId w:val="18"/>
        </w:numPr>
        <w:tabs>
          <w:tab w:val="left" w:pos="993"/>
        </w:tabs>
        <w:ind w:left="993"/>
        <w:rPr>
          <w:rFonts w:cs="Arial"/>
        </w:rPr>
      </w:pPr>
      <w:r w:rsidRPr="00DF720C">
        <w:rPr>
          <w:rFonts w:cs="Arial"/>
        </w:rPr>
        <w:t xml:space="preserve">Oxfordshire Apprenticeships: </w:t>
      </w:r>
      <w:r w:rsidR="00D500D1" w:rsidRPr="00D500D1">
        <w:rPr>
          <w:rFonts w:cs="Arial"/>
        </w:rPr>
        <w:t>The skills element of City Deal includes a commitment to deliver 525 new apprenticeships for young people, 300 Apprenticeship Grants for Employers and a new body that will support young people as they transition into the world of work through a number of mechanisms – namely Oxfordshire Apprenticeships. £1.5million of funding was allocated with targets to increase Apprenticeship and Traineeship uptake across Oxfordshire over the 3 years from April 2014 to March 2017</w:t>
      </w:r>
      <w:r w:rsidR="00F83D92">
        <w:rPr>
          <w:rFonts w:cs="Arial"/>
        </w:rPr>
        <w:t xml:space="preserve">. Targets </w:t>
      </w:r>
      <w:r w:rsidR="00D500D1">
        <w:rPr>
          <w:rFonts w:cs="Arial"/>
        </w:rPr>
        <w:t>are broadly being met or exceeded.</w:t>
      </w:r>
      <w:r w:rsidR="00D500D1" w:rsidRPr="00D500D1">
        <w:rPr>
          <w:rFonts w:cs="Arial"/>
          <w:lang w:val="en-US"/>
        </w:rPr>
        <w:t xml:space="preserve"> Oxford has the </w:t>
      </w:r>
      <w:r w:rsidR="00226B82">
        <w:rPr>
          <w:rFonts w:cs="Arial"/>
          <w:lang w:val="en-US"/>
        </w:rPr>
        <w:t>fewest</w:t>
      </w:r>
      <w:r w:rsidR="00F83D92">
        <w:rPr>
          <w:rFonts w:cs="Arial"/>
          <w:lang w:val="en-US"/>
        </w:rPr>
        <w:t xml:space="preserve"> resident apprentices of any Oxon district</w:t>
      </w:r>
      <w:r w:rsidR="00D500D1" w:rsidRPr="00D500D1">
        <w:rPr>
          <w:rFonts w:cs="Arial"/>
          <w:lang w:val="en-US"/>
        </w:rPr>
        <w:t>.</w:t>
      </w:r>
      <w:r w:rsidR="00D500D1">
        <w:rPr>
          <w:rFonts w:cs="Arial"/>
          <w:lang w:val="en-US"/>
        </w:rPr>
        <w:t xml:space="preserve"> However, t</w:t>
      </w:r>
      <w:r w:rsidR="00D500D1" w:rsidRPr="00D500D1">
        <w:rPr>
          <w:rFonts w:cs="Arial"/>
          <w:lang w:val="en-US"/>
        </w:rPr>
        <w:t>he majority, 26%, of apprenticeships are located in Oxford City</w:t>
      </w:r>
      <w:r w:rsidR="00F83D92">
        <w:rPr>
          <w:rFonts w:cs="Arial"/>
          <w:lang w:val="en-US"/>
        </w:rPr>
        <w:t xml:space="preserve"> businesses</w:t>
      </w:r>
      <w:r w:rsidR="00D500D1" w:rsidRPr="00D500D1">
        <w:rPr>
          <w:rFonts w:cs="Arial"/>
          <w:lang w:val="en-US"/>
        </w:rPr>
        <w:t>, despite having the fewest resident apprentices. This is partly reflective of our job density and high in-commuting figures</w:t>
      </w:r>
      <w:r w:rsidR="00F83D92">
        <w:rPr>
          <w:rFonts w:cs="Arial"/>
          <w:lang w:val="en-US"/>
        </w:rPr>
        <w:t>.</w:t>
      </w:r>
    </w:p>
    <w:p w:rsidR="00712100" w:rsidRPr="00D500D1" w:rsidRDefault="00D500D1" w:rsidP="002D2739">
      <w:pPr>
        <w:pStyle w:val="ListParagraph"/>
        <w:numPr>
          <w:ilvl w:val="1"/>
          <w:numId w:val="18"/>
        </w:numPr>
        <w:tabs>
          <w:tab w:val="left" w:pos="993"/>
        </w:tabs>
        <w:ind w:left="993"/>
        <w:rPr>
          <w:rFonts w:cs="Arial"/>
        </w:rPr>
      </w:pPr>
      <w:r>
        <w:rPr>
          <w:rFonts w:cs="Arial"/>
        </w:rPr>
        <w:t>Bu</w:t>
      </w:r>
      <w:r w:rsidR="00712100" w:rsidRPr="00D500D1">
        <w:rPr>
          <w:rFonts w:cs="Arial"/>
        </w:rPr>
        <w:t>siness Support Service</w:t>
      </w:r>
      <w:r w:rsidR="00DF720C" w:rsidRPr="00D500D1">
        <w:rPr>
          <w:rFonts w:cs="Arial"/>
        </w:rPr>
        <w:t xml:space="preserve">: The service is acting as an overarching hub for business support including start-ups, established SMEs and innovation focussed business. A team of sector specialist </w:t>
      </w:r>
      <w:r w:rsidR="00F83D92">
        <w:rPr>
          <w:rFonts w:cs="Arial"/>
        </w:rPr>
        <w:t>‘</w:t>
      </w:r>
      <w:r w:rsidR="00DF720C" w:rsidRPr="00D500D1">
        <w:rPr>
          <w:rFonts w:cs="Arial"/>
        </w:rPr>
        <w:t>Network Navigators’ is leading on supporting key knowledge sectors from digital, life science, social enterprise, space and satellites, cryogenics and investment. Followi</w:t>
      </w:r>
      <w:r w:rsidR="003A0F47" w:rsidRPr="00D500D1">
        <w:rPr>
          <w:rFonts w:cs="Arial"/>
        </w:rPr>
        <w:t>ng the closure of the Business G</w:t>
      </w:r>
      <w:r w:rsidR="00DF720C" w:rsidRPr="00D500D1">
        <w:rPr>
          <w:rFonts w:cs="Arial"/>
        </w:rPr>
        <w:t>rowth Service</w:t>
      </w:r>
      <w:r w:rsidR="003A0F47" w:rsidRPr="00D500D1">
        <w:rPr>
          <w:rFonts w:cs="Arial"/>
        </w:rPr>
        <w:t>, the offering will become a greater focal point for public sector funded business support.</w:t>
      </w:r>
      <w:r w:rsidR="00DF720C" w:rsidRPr="00D500D1">
        <w:rPr>
          <w:rFonts w:cs="Arial"/>
        </w:rPr>
        <w:t xml:space="preserve"> </w:t>
      </w:r>
    </w:p>
    <w:p w:rsidR="00A3356D" w:rsidRPr="00DF720C" w:rsidRDefault="00F83D92" w:rsidP="002D2739">
      <w:pPr>
        <w:pStyle w:val="ListParagraph"/>
        <w:numPr>
          <w:ilvl w:val="1"/>
          <w:numId w:val="18"/>
        </w:numPr>
        <w:tabs>
          <w:tab w:val="left" w:pos="993"/>
        </w:tabs>
        <w:ind w:left="993"/>
        <w:rPr>
          <w:rFonts w:cs="Arial"/>
        </w:rPr>
      </w:pPr>
      <w:r>
        <w:rPr>
          <w:rFonts w:cs="Arial"/>
        </w:rPr>
        <w:t xml:space="preserve">European </w:t>
      </w:r>
      <w:r w:rsidR="00DF720C">
        <w:rPr>
          <w:rFonts w:cs="Arial"/>
        </w:rPr>
        <w:t>Capital o</w:t>
      </w:r>
      <w:r w:rsidR="00A3356D" w:rsidRPr="00DF720C">
        <w:rPr>
          <w:rFonts w:cs="Arial"/>
        </w:rPr>
        <w:t>f Innovation</w:t>
      </w:r>
      <w:r w:rsidR="00DF720C">
        <w:rPr>
          <w:rFonts w:cs="Arial"/>
        </w:rPr>
        <w:t xml:space="preserve"> Shortlisting: The LEP </w:t>
      </w:r>
      <w:r>
        <w:rPr>
          <w:rFonts w:cs="Arial"/>
        </w:rPr>
        <w:t xml:space="preserve">has </w:t>
      </w:r>
      <w:r w:rsidR="00DF720C">
        <w:rPr>
          <w:rFonts w:cs="Arial"/>
        </w:rPr>
        <w:t xml:space="preserve">supported this work </w:t>
      </w:r>
      <w:r>
        <w:rPr>
          <w:rFonts w:cs="Arial"/>
        </w:rPr>
        <w:t>in terms of funds and expertise.</w:t>
      </w:r>
    </w:p>
    <w:p w:rsidR="00A3356D" w:rsidRPr="00DF720C" w:rsidRDefault="00A3356D" w:rsidP="002D2739">
      <w:pPr>
        <w:pStyle w:val="ListParagraph"/>
        <w:numPr>
          <w:ilvl w:val="1"/>
          <w:numId w:val="18"/>
        </w:numPr>
        <w:tabs>
          <w:tab w:val="left" w:pos="993"/>
        </w:tabs>
        <w:ind w:left="993"/>
        <w:rPr>
          <w:rFonts w:cs="Arial"/>
        </w:rPr>
      </w:pPr>
      <w:r w:rsidRPr="00DF720C">
        <w:rPr>
          <w:rFonts w:cs="Arial"/>
        </w:rPr>
        <w:lastRenderedPageBreak/>
        <w:t>Resilient Cities</w:t>
      </w:r>
      <w:r w:rsidR="00DF720C">
        <w:rPr>
          <w:rFonts w:cs="Arial"/>
        </w:rPr>
        <w:t>: The LEP has supported Oxford City Council and the County Council to bid for funding to the Rockerfeller Foundation to bid for a Chief City Resilience Officer to plan against shocks and stresses that impact on city’s ability to function. If successful, Oxford will join a network of 100 major cities</w:t>
      </w:r>
      <w:r w:rsidR="00F83D92">
        <w:rPr>
          <w:rFonts w:cs="Arial"/>
        </w:rPr>
        <w:t xml:space="preserve"> globally</w:t>
      </w:r>
      <w:r w:rsidR="00DF720C">
        <w:rPr>
          <w:rFonts w:cs="Arial"/>
        </w:rPr>
        <w:t>.</w:t>
      </w:r>
    </w:p>
    <w:p w:rsidR="00712100" w:rsidRDefault="00712100" w:rsidP="00712100">
      <w:pPr>
        <w:pStyle w:val="ListParagraph"/>
        <w:rPr>
          <w:rFonts w:cs="Arial"/>
          <w:u w:val="single"/>
        </w:rPr>
      </w:pPr>
    </w:p>
    <w:p w:rsidR="00852A49" w:rsidRPr="00F83D92" w:rsidRDefault="00712100" w:rsidP="00F83D92">
      <w:pPr>
        <w:pStyle w:val="ListParagraph"/>
        <w:numPr>
          <w:ilvl w:val="0"/>
          <w:numId w:val="18"/>
        </w:numPr>
        <w:rPr>
          <w:rFonts w:cs="Arial"/>
          <w:u w:val="single"/>
        </w:rPr>
      </w:pPr>
      <w:r>
        <w:rPr>
          <w:rFonts w:cs="Arial"/>
          <w:u w:val="single"/>
        </w:rPr>
        <w:t>Devolution Deal Progress</w:t>
      </w:r>
      <w:r w:rsidR="00852A49">
        <w:rPr>
          <w:rFonts w:cs="Arial"/>
          <w:u w:val="single"/>
        </w:rPr>
        <w:t xml:space="preserve">: </w:t>
      </w:r>
      <w:r w:rsidR="00852A49" w:rsidRPr="00852A49">
        <w:rPr>
          <w:rFonts w:cs="Arial"/>
        </w:rPr>
        <w:t>On 4</w:t>
      </w:r>
      <w:r w:rsidR="00852A49" w:rsidRPr="00852A49">
        <w:rPr>
          <w:rFonts w:cs="Arial"/>
          <w:vertAlign w:val="superscript"/>
        </w:rPr>
        <w:t>th</w:t>
      </w:r>
      <w:r w:rsidR="00852A49" w:rsidRPr="00852A49">
        <w:rPr>
          <w:rFonts w:cs="Arial"/>
        </w:rPr>
        <w:t xml:space="preserve"> September, the Leaders of the six Oxfordshire Authorities submitted an expression of interest to government setting out initial proposals for devolution in Oxfordshire for discussion with government.  These proposals were developed together with the Local Enterprise Partnership and the Clinical Commissioning Group and outlined proposals for greater local control over £4bn of funding for transport, skills training and health services. </w:t>
      </w:r>
      <w:r w:rsidR="00F81B64">
        <w:rPr>
          <w:rFonts w:cs="Arial"/>
        </w:rPr>
        <w:t xml:space="preserve"> </w:t>
      </w:r>
      <w:r w:rsidR="00F83D92">
        <w:rPr>
          <w:rFonts w:cs="Arial"/>
        </w:rPr>
        <w:t xml:space="preserve"> </w:t>
      </w:r>
      <w:r w:rsidR="00852A49" w:rsidRPr="00F83D92">
        <w:rPr>
          <w:rFonts w:cs="Arial"/>
        </w:rPr>
        <w:t xml:space="preserve">As this process continues, the LEP has been coordinating with all districts and the county to maximise the business case including a set of key asks and expected long-term economic benefits. </w:t>
      </w:r>
    </w:p>
    <w:p w:rsidR="00712100" w:rsidRDefault="00712100" w:rsidP="00712100">
      <w:pPr>
        <w:spacing w:after="0"/>
        <w:rPr>
          <w:b/>
        </w:rPr>
      </w:pPr>
      <w:r>
        <w:rPr>
          <w:b/>
        </w:rPr>
        <w:t>Financial Implications</w:t>
      </w:r>
    </w:p>
    <w:p w:rsidR="00712100" w:rsidRDefault="00712100" w:rsidP="00712100">
      <w:pPr>
        <w:spacing w:after="0"/>
        <w:rPr>
          <w:b/>
        </w:rPr>
      </w:pPr>
    </w:p>
    <w:p w:rsidR="00EF67AA" w:rsidRDefault="00EF67AA" w:rsidP="00EF67AA">
      <w:pPr>
        <w:spacing w:after="0"/>
      </w:pPr>
      <w:r w:rsidRPr="00EF67AA">
        <w:t>The City Council has not currently committed any financial resources to</w:t>
      </w:r>
      <w:r>
        <w:t xml:space="preserve"> </w:t>
      </w:r>
      <w:r w:rsidRPr="00EF67AA">
        <w:t xml:space="preserve">the </w:t>
      </w:r>
      <w:r>
        <w:t>O</w:t>
      </w:r>
      <w:r w:rsidRPr="00EF67AA">
        <w:t>xfordshire LEP, although there is a commitment in terms of</w:t>
      </w:r>
      <w:r>
        <w:t xml:space="preserve"> </w:t>
      </w:r>
      <w:r w:rsidRPr="00EF67AA">
        <w:t>member and staff</w:t>
      </w:r>
      <w:r>
        <w:t xml:space="preserve"> time for attending meetings,</w:t>
      </w:r>
      <w:r w:rsidRPr="00EF67AA">
        <w:t xml:space="preserve"> coordination and</w:t>
      </w:r>
      <w:r>
        <w:t xml:space="preserve"> </w:t>
      </w:r>
      <w:r w:rsidRPr="00EF67AA">
        <w:t>communication of decisions</w:t>
      </w:r>
      <w:r>
        <w:t xml:space="preserve">, and matching </w:t>
      </w:r>
      <w:r w:rsidR="0029364A">
        <w:t>existing</w:t>
      </w:r>
      <w:r>
        <w:t xml:space="preserve"> </w:t>
      </w:r>
      <w:r w:rsidR="0029364A">
        <w:t xml:space="preserve">staff </w:t>
      </w:r>
      <w:r>
        <w:t>costs of European Funded programmes related to business support</w:t>
      </w:r>
      <w:r w:rsidRPr="00EF67AA">
        <w:t xml:space="preserve">. In addition the </w:t>
      </w:r>
      <w:r>
        <w:t xml:space="preserve">previous </w:t>
      </w:r>
      <w:r w:rsidRPr="00EF67AA">
        <w:t>Economic Development</w:t>
      </w:r>
      <w:r>
        <w:t xml:space="preserve"> </w:t>
      </w:r>
      <w:r w:rsidRPr="00EF67AA">
        <w:t xml:space="preserve">Manager </w:t>
      </w:r>
      <w:r>
        <w:t xml:space="preserve">is funded one day per week to work for OxLEP. </w:t>
      </w:r>
    </w:p>
    <w:p w:rsidR="00712100" w:rsidRDefault="00712100" w:rsidP="00EF67AA">
      <w:pPr>
        <w:spacing w:after="0"/>
      </w:pPr>
    </w:p>
    <w:p w:rsidR="00EF67AA" w:rsidRPr="00EF67AA" w:rsidRDefault="00EF67AA" w:rsidP="00B73E1C">
      <w:pPr>
        <w:spacing w:after="0"/>
      </w:pPr>
      <w:r w:rsidRPr="00EF67AA">
        <w:t>There are no additional financial implications as a direct result of this report</w:t>
      </w:r>
    </w:p>
    <w:p w:rsidR="002C6268" w:rsidRDefault="002C6268" w:rsidP="00B73E1C">
      <w:pPr>
        <w:spacing w:after="0"/>
        <w:rPr>
          <w:b/>
        </w:rPr>
      </w:pPr>
    </w:p>
    <w:p w:rsidR="00B73E1C" w:rsidRDefault="00B73E1C" w:rsidP="00B73E1C">
      <w:pPr>
        <w:rPr>
          <w:b/>
        </w:rPr>
      </w:pPr>
      <w:r>
        <w:rPr>
          <w:b/>
        </w:rPr>
        <w:t>Legal Implications</w:t>
      </w:r>
    </w:p>
    <w:p w:rsidR="00852A49" w:rsidRPr="002D2739" w:rsidRDefault="00647B74" w:rsidP="002D2739">
      <w:pPr>
        <w:rPr>
          <w:b/>
        </w:rPr>
      </w:pPr>
      <w:r w:rsidRPr="00DA4A59">
        <w:t>There are no legal implications</w:t>
      </w:r>
      <w:r w:rsidR="00EF67AA">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B73E1C" w:rsidTr="00B73E1C">
        <w:tc>
          <w:tcPr>
            <w:tcW w:w="8522" w:type="dxa"/>
            <w:tcBorders>
              <w:top w:val="single" w:sz="4" w:space="0" w:color="auto"/>
              <w:left w:val="single" w:sz="4" w:space="0" w:color="auto"/>
              <w:bottom w:val="nil"/>
              <w:right w:val="single" w:sz="4" w:space="0" w:color="auto"/>
            </w:tcBorders>
            <w:hideMark/>
          </w:tcPr>
          <w:p w:rsidR="00B73E1C" w:rsidRDefault="00B73E1C">
            <w:pPr>
              <w:tabs>
                <w:tab w:val="left" w:pos="720"/>
                <w:tab w:val="left" w:pos="1440"/>
                <w:tab w:val="left" w:pos="2160"/>
                <w:tab w:val="left" w:pos="2880"/>
              </w:tabs>
            </w:pPr>
            <w:r>
              <w:t xml:space="preserve"> </w:t>
            </w:r>
            <w:r w:rsidRPr="00852A49">
              <w:rPr>
                <w:b/>
              </w:rPr>
              <w:t>N</w:t>
            </w:r>
            <w:r>
              <w:rPr>
                <w:b/>
                <w:bCs/>
              </w:rPr>
              <w:t>ame and contact details of author:-</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EF67AA">
            <w:pPr>
              <w:tabs>
                <w:tab w:val="left" w:pos="720"/>
                <w:tab w:val="left" w:pos="1440"/>
                <w:tab w:val="left" w:pos="2160"/>
                <w:tab w:val="left" w:pos="2880"/>
              </w:tabs>
            </w:pPr>
            <w:r>
              <w:rPr>
                <w:b/>
              </w:rPr>
              <w:t>Name:</w:t>
            </w:r>
            <w:r w:rsidR="00744B94">
              <w:t xml:space="preserve"> </w:t>
            </w:r>
            <w:r w:rsidR="00EF67AA">
              <w:t>Matt Peachey</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EF67AA">
            <w:pPr>
              <w:tabs>
                <w:tab w:val="left" w:pos="720"/>
                <w:tab w:val="left" w:pos="1440"/>
                <w:tab w:val="left" w:pos="2160"/>
                <w:tab w:val="left" w:pos="2880"/>
              </w:tabs>
            </w:pPr>
            <w:r>
              <w:rPr>
                <w:b/>
              </w:rPr>
              <w:t>Job title:</w:t>
            </w:r>
            <w:r>
              <w:t xml:space="preserve"> </w:t>
            </w:r>
            <w:r w:rsidR="00EF67AA">
              <w:rPr>
                <w:rFonts w:ascii="Helvetica" w:hAnsi="Helvetica" w:cs="Helvetica"/>
                <w:lang w:val="en"/>
              </w:rPr>
              <w:t>Economic Development Manager</w:t>
            </w:r>
          </w:p>
        </w:tc>
      </w:tr>
      <w:tr w:rsidR="00B73E1C" w:rsidTr="00B73E1C">
        <w:tc>
          <w:tcPr>
            <w:tcW w:w="8522" w:type="dxa"/>
            <w:tcBorders>
              <w:top w:val="nil"/>
              <w:left w:val="single" w:sz="4" w:space="0" w:color="auto"/>
              <w:bottom w:val="nil"/>
              <w:right w:val="single" w:sz="4" w:space="0" w:color="auto"/>
            </w:tcBorders>
            <w:hideMark/>
          </w:tcPr>
          <w:p w:rsidR="00B73E1C" w:rsidRDefault="00B73E1C" w:rsidP="00DA4A59">
            <w:pPr>
              <w:tabs>
                <w:tab w:val="left" w:pos="720"/>
                <w:tab w:val="left" w:pos="1440"/>
                <w:tab w:val="left" w:pos="2160"/>
                <w:tab w:val="left" w:pos="2880"/>
              </w:tabs>
            </w:pPr>
            <w:r>
              <w:rPr>
                <w:b/>
              </w:rPr>
              <w:t>Service Area</w:t>
            </w:r>
            <w:r w:rsidR="00EF67AA">
              <w:t xml:space="preserve">: </w:t>
            </w:r>
            <w:r w:rsidR="00DA4A59" w:rsidRPr="00DA4A59">
              <w:t>Partnerships and Regeneration</w:t>
            </w:r>
          </w:p>
        </w:tc>
      </w:tr>
      <w:tr w:rsidR="00B73E1C" w:rsidTr="00B73E1C">
        <w:tc>
          <w:tcPr>
            <w:tcW w:w="8522" w:type="dxa"/>
            <w:tcBorders>
              <w:top w:val="nil"/>
              <w:left w:val="single" w:sz="4" w:space="0" w:color="auto"/>
              <w:bottom w:val="single" w:sz="4" w:space="0" w:color="auto"/>
              <w:right w:val="single" w:sz="4" w:space="0" w:color="auto"/>
            </w:tcBorders>
            <w:hideMark/>
          </w:tcPr>
          <w:p w:rsidR="006534AE" w:rsidRDefault="00B73E1C" w:rsidP="00744B94">
            <w:pPr>
              <w:tabs>
                <w:tab w:val="left" w:pos="720"/>
                <w:tab w:val="left" w:pos="1440"/>
                <w:tab w:val="left" w:pos="2160"/>
                <w:tab w:val="left" w:pos="2880"/>
              </w:tabs>
            </w:pPr>
            <w:r>
              <w:rPr>
                <w:b/>
              </w:rPr>
              <w:t>Tel:</w:t>
            </w:r>
            <w:r>
              <w:t xml:space="preserve">  </w:t>
            </w:r>
            <w:r w:rsidR="006534AE">
              <w:t>01865 252</w:t>
            </w:r>
            <w:r w:rsidR="00EF67AA">
              <w:t>021</w:t>
            </w:r>
          </w:p>
          <w:p w:rsidR="00B73E1C" w:rsidRDefault="00B73E1C" w:rsidP="00EF67AA">
            <w:pPr>
              <w:tabs>
                <w:tab w:val="left" w:pos="720"/>
                <w:tab w:val="left" w:pos="1440"/>
                <w:tab w:val="left" w:pos="2160"/>
                <w:tab w:val="left" w:pos="2880"/>
              </w:tabs>
              <w:rPr>
                <w:color w:val="0000FF"/>
                <w:u w:val="single"/>
              </w:rPr>
            </w:pPr>
            <w:r>
              <w:rPr>
                <w:b/>
              </w:rPr>
              <w:t>e-mail:</w:t>
            </w:r>
            <w:r>
              <w:t xml:space="preserve"> </w:t>
            </w:r>
            <w:r w:rsidR="00EF67AA">
              <w:t>mpeachey</w:t>
            </w:r>
            <w:r w:rsidR="006534AE">
              <w:t>@oxford.gov.uk</w:t>
            </w:r>
          </w:p>
        </w:tc>
      </w:tr>
    </w:tbl>
    <w:p w:rsidR="002D2739" w:rsidRDefault="002D2739" w:rsidP="00B73E1C">
      <w:pPr>
        <w:rPr>
          <w:rFonts w:cs="Arial"/>
          <w:b/>
          <w:bCs/>
        </w:rPr>
      </w:pPr>
    </w:p>
    <w:p w:rsidR="00B73E1C" w:rsidRDefault="00B73E1C" w:rsidP="00B73E1C">
      <w:pPr>
        <w:rPr>
          <w:rFonts w:cs="Arial"/>
          <w:b/>
          <w:bCs/>
        </w:rPr>
      </w:pPr>
      <w:r>
        <w:rPr>
          <w:rFonts w:cs="Arial"/>
          <w:b/>
          <w:bCs/>
        </w:rPr>
        <w:t xml:space="preserve">List of background papers: </w:t>
      </w:r>
    </w:p>
    <w:p w:rsidR="00B73E1C" w:rsidRDefault="00B73E1C" w:rsidP="00B73E1C">
      <w:pPr>
        <w:rPr>
          <w:rFonts w:cs="Arial"/>
          <w:bCs/>
        </w:rPr>
      </w:pPr>
      <w:r>
        <w:rPr>
          <w:rFonts w:cs="Arial"/>
          <w:bCs/>
        </w:rPr>
        <w:t>Further information can be found on the web site link below.</w:t>
      </w:r>
    </w:p>
    <w:p w:rsidR="00B73E1C" w:rsidRDefault="002D2739" w:rsidP="00B73E1C">
      <w:pPr>
        <w:rPr>
          <w:b/>
          <w:bCs/>
        </w:rPr>
      </w:pPr>
      <w:hyperlink r:id="rId14" w:history="1">
        <w:r w:rsidR="00EF67AA" w:rsidRPr="00A50D8F">
          <w:rPr>
            <w:rStyle w:val="Hyperlink"/>
          </w:rPr>
          <w:t>http://www.oxfordshirelep.org.uk/</w:t>
        </w:r>
      </w:hyperlink>
      <w:r w:rsidR="00EF67AA">
        <w:t xml:space="preserve"> </w:t>
      </w:r>
    </w:p>
    <w:sectPr w:rsidR="00B73E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93" w:rsidRDefault="00E30593" w:rsidP="00E12010">
      <w:pPr>
        <w:spacing w:after="0"/>
      </w:pPr>
      <w:r>
        <w:separator/>
      </w:r>
    </w:p>
  </w:endnote>
  <w:endnote w:type="continuationSeparator" w:id="0">
    <w:p w:rsidR="00E30593" w:rsidRDefault="00E30593" w:rsidP="00E12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93" w:rsidRDefault="00E30593" w:rsidP="00E12010">
      <w:pPr>
        <w:spacing w:after="0"/>
      </w:pPr>
      <w:r>
        <w:separator/>
      </w:r>
    </w:p>
  </w:footnote>
  <w:footnote w:type="continuationSeparator" w:id="0">
    <w:p w:rsidR="00E30593" w:rsidRDefault="00E30593" w:rsidP="00E12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A84"/>
    <w:multiLevelType w:val="multilevel"/>
    <w:tmpl w:val="2F64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D5CAA"/>
    <w:multiLevelType w:val="hybridMultilevel"/>
    <w:tmpl w:val="42205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F849CB"/>
    <w:multiLevelType w:val="hybridMultilevel"/>
    <w:tmpl w:val="4052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A4542"/>
    <w:multiLevelType w:val="multilevel"/>
    <w:tmpl w:val="722C9A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E476C9B"/>
    <w:multiLevelType w:val="multilevel"/>
    <w:tmpl w:val="74DA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B9460F"/>
    <w:multiLevelType w:val="hybridMultilevel"/>
    <w:tmpl w:val="D774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826A2D"/>
    <w:multiLevelType w:val="hybridMultilevel"/>
    <w:tmpl w:val="82268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0C5675"/>
    <w:multiLevelType w:val="hybridMultilevel"/>
    <w:tmpl w:val="D4C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4431CB"/>
    <w:multiLevelType w:val="hybridMultilevel"/>
    <w:tmpl w:val="40521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A22555"/>
    <w:multiLevelType w:val="hybridMultilevel"/>
    <w:tmpl w:val="BD60BCA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8113ED7"/>
    <w:multiLevelType w:val="multilevel"/>
    <w:tmpl w:val="12B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022E66"/>
    <w:multiLevelType w:val="hybridMultilevel"/>
    <w:tmpl w:val="E9E6A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D146E30"/>
    <w:multiLevelType w:val="hybridMultilevel"/>
    <w:tmpl w:val="D68C6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44B35E0"/>
    <w:multiLevelType w:val="hybridMultilevel"/>
    <w:tmpl w:val="3B56A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C6D2283"/>
    <w:multiLevelType w:val="hybridMultilevel"/>
    <w:tmpl w:val="7AA6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2836BE"/>
    <w:multiLevelType w:val="hybridMultilevel"/>
    <w:tmpl w:val="BF581398"/>
    <w:lvl w:ilvl="0" w:tplc="28D4CA42">
      <w:start w:val="1"/>
      <w:numFmt w:val="bullet"/>
      <w:lvlText w:val="–"/>
      <w:lvlJc w:val="left"/>
      <w:pPr>
        <w:tabs>
          <w:tab w:val="num" w:pos="720"/>
        </w:tabs>
        <w:ind w:left="720" w:hanging="360"/>
      </w:pPr>
      <w:rPr>
        <w:rFonts w:ascii="Times New Roman" w:hAnsi="Times New Roman" w:cs="Times New Roman" w:hint="default"/>
      </w:rPr>
    </w:lvl>
    <w:lvl w:ilvl="1" w:tplc="C9868FA0">
      <w:start w:val="1"/>
      <w:numFmt w:val="bullet"/>
      <w:lvlText w:val="–"/>
      <w:lvlJc w:val="left"/>
      <w:pPr>
        <w:tabs>
          <w:tab w:val="num" w:pos="1440"/>
        </w:tabs>
        <w:ind w:left="1440" w:hanging="360"/>
      </w:pPr>
      <w:rPr>
        <w:rFonts w:ascii="Times New Roman" w:hAnsi="Times New Roman" w:cs="Times New Roman" w:hint="default"/>
      </w:rPr>
    </w:lvl>
    <w:lvl w:ilvl="2" w:tplc="8D7A0536">
      <w:start w:val="1"/>
      <w:numFmt w:val="bullet"/>
      <w:lvlText w:val="–"/>
      <w:lvlJc w:val="left"/>
      <w:pPr>
        <w:tabs>
          <w:tab w:val="num" w:pos="2160"/>
        </w:tabs>
        <w:ind w:left="2160" w:hanging="360"/>
      </w:pPr>
      <w:rPr>
        <w:rFonts w:ascii="Times New Roman" w:hAnsi="Times New Roman" w:cs="Times New Roman" w:hint="default"/>
      </w:rPr>
    </w:lvl>
    <w:lvl w:ilvl="3" w:tplc="24986742">
      <w:start w:val="1"/>
      <w:numFmt w:val="bullet"/>
      <w:lvlText w:val="–"/>
      <w:lvlJc w:val="left"/>
      <w:pPr>
        <w:tabs>
          <w:tab w:val="num" w:pos="2880"/>
        </w:tabs>
        <w:ind w:left="2880" w:hanging="360"/>
      </w:pPr>
      <w:rPr>
        <w:rFonts w:ascii="Times New Roman" w:hAnsi="Times New Roman" w:cs="Times New Roman" w:hint="default"/>
      </w:rPr>
    </w:lvl>
    <w:lvl w:ilvl="4" w:tplc="E384FBAA">
      <w:start w:val="1"/>
      <w:numFmt w:val="bullet"/>
      <w:lvlText w:val="–"/>
      <w:lvlJc w:val="left"/>
      <w:pPr>
        <w:tabs>
          <w:tab w:val="num" w:pos="3600"/>
        </w:tabs>
        <w:ind w:left="3600" w:hanging="360"/>
      </w:pPr>
      <w:rPr>
        <w:rFonts w:ascii="Times New Roman" w:hAnsi="Times New Roman" w:cs="Times New Roman" w:hint="default"/>
      </w:rPr>
    </w:lvl>
    <w:lvl w:ilvl="5" w:tplc="5BC6365E">
      <w:start w:val="1"/>
      <w:numFmt w:val="bullet"/>
      <w:lvlText w:val="–"/>
      <w:lvlJc w:val="left"/>
      <w:pPr>
        <w:tabs>
          <w:tab w:val="num" w:pos="4320"/>
        </w:tabs>
        <w:ind w:left="4320" w:hanging="360"/>
      </w:pPr>
      <w:rPr>
        <w:rFonts w:ascii="Times New Roman" w:hAnsi="Times New Roman" w:cs="Times New Roman" w:hint="default"/>
      </w:rPr>
    </w:lvl>
    <w:lvl w:ilvl="6" w:tplc="1960C862">
      <w:start w:val="1"/>
      <w:numFmt w:val="bullet"/>
      <w:lvlText w:val="–"/>
      <w:lvlJc w:val="left"/>
      <w:pPr>
        <w:tabs>
          <w:tab w:val="num" w:pos="5040"/>
        </w:tabs>
        <w:ind w:left="5040" w:hanging="360"/>
      </w:pPr>
      <w:rPr>
        <w:rFonts w:ascii="Times New Roman" w:hAnsi="Times New Roman" w:cs="Times New Roman" w:hint="default"/>
      </w:rPr>
    </w:lvl>
    <w:lvl w:ilvl="7" w:tplc="FC2CA7D8">
      <w:start w:val="1"/>
      <w:numFmt w:val="bullet"/>
      <w:lvlText w:val="–"/>
      <w:lvlJc w:val="left"/>
      <w:pPr>
        <w:tabs>
          <w:tab w:val="num" w:pos="5760"/>
        </w:tabs>
        <w:ind w:left="5760" w:hanging="360"/>
      </w:pPr>
      <w:rPr>
        <w:rFonts w:ascii="Times New Roman" w:hAnsi="Times New Roman" w:cs="Times New Roman" w:hint="default"/>
      </w:rPr>
    </w:lvl>
    <w:lvl w:ilvl="8" w:tplc="7292D82A">
      <w:start w:val="1"/>
      <w:numFmt w:val="bullet"/>
      <w:lvlText w:val="–"/>
      <w:lvlJc w:val="left"/>
      <w:pPr>
        <w:tabs>
          <w:tab w:val="num" w:pos="6480"/>
        </w:tabs>
        <w:ind w:left="6480" w:hanging="360"/>
      </w:pPr>
      <w:rPr>
        <w:rFonts w:ascii="Times New Roman" w:hAnsi="Times New Roman"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8"/>
  </w:num>
  <w:num w:numId="5">
    <w:abstractNumId w:val="2"/>
  </w:num>
  <w:num w:numId="6">
    <w:abstractNumId w:val="6"/>
  </w:num>
  <w:num w:numId="7">
    <w:abstractNumId w:val="7"/>
  </w:num>
  <w:num w:numId="8">
    <w:abstractNumId w:val="9"/>
  </w:num>
  <w:num w:numId="9">
    <w:abstractNumId w:val="0"/>
  </w:num>
  <w:num w:numId="10">
    <w:abstractNumId w:val="15"/>
  </w:num>
  <w:num w:numId="11">
    <w:abstractNumId w:val="5"/>
  </w:num>
  <w:num w:numId="12">
    <w:abstractNumId w:val="11"/>
  </w:num>
  <w:num w:numId="13">
    <w:abstractNumId w:val="20"/>
  </w:num>
  <w:num w:numId="14">
    <w:abstractNumId w:val="10"/>
  </w:num>
  <w:num w:numId="15">
    <w:abstractNumId w:val="18"/>
  </w:num>
  <w:num w:numId="16">
    <w:abstractNumId w:val="13"/>
  </w:num>
  <w:num w:numId="17">
    <w:abstractNumId w:val="4"/>
  </w:num>
  <w:num w:numId="18">
    <w:abstractNumId w:val="16"/>
  </w:num>
  <w:num w:numId="19">
    <w:abstractNumId w:val="1"/>
  </w:num>
  <w:num w:numId="20">
    <w:abstractNumId w:val="2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1C"/>
    <w:rsid w:val="00056D51"/>
    <w:rsid w:val="000621DF"/>
    <w:rsid w:val="000639F9"/>
    <w:rsid w:val="000B4310"/>
    <w:rsid w:val="000C33CA"/>
    <w:rsid w:val="000C72A7"/>
    <w:rsid w:val="000E61EE"/>
    <w:rsid w:val="001154F4"/>
    <w:rsid w:val="00190746"/>
    <w:rsid w:val="001941C1"/>
    <w:rsid w:val="00195C0B"/>
    <w:rsid w:val="001C6352"/>
    <w:rsid w:val="001D12A6"/>
    <w:rsid w:val="00226B82"/>
    <w:rsid w:val="00240582"/>
    <w:rsid w:val="00270A2D"/>
    <w:rsid w:val="0029364A"/>
    <w:rsid w:val="002C6268"/>
    <w:rsid w:val="002D107D"/>
    <w:rsid w:val="002D2739"/>
    <w:rsid w:val="00303689"/>
    <w:rsid w:val="003048D6"/>
    <w:rsid w:val="00307F70"/>
    <w:rsid w:val="003258E7"/>
    <w:rsid w:val="00382804"/>
    <w:rsid w:val="00387CEB"/>
    <w:rsid w:val="003A0F47"/>
    <w:rsid w:val="003D1FD7"/>
    <w:rsid w:val="004000D7"/>
    <w:rsid w:val="004334A6"/>
    <w:rsid w:val="00442C88"/>
    <w:rsid w:val="00481D54"/>
    <w:rsid w:val="004A168C"/>
    <w:rsid w:val="004F0B7F"/>
    <w:rsid w:val="00500D05"/>
    <w:rsid w:val="00504E43"/>
    <w:rsid w:val="005836C7"/>
    <w:rsid w:val="00636BBA"/>
    <w:rsid w:val="00647B74"/>
    <w:rsid w:val="006534AE"/>
    <w:rsid w:val="00664BE5"/>
    <w:rsid w:val="00671823"/>
    <w:rsid w:val="00675B65"/>
    <w:rsid w:val="006D4061"/>
    <w:rsid w:val="00701B57"/>
    <w:rsid w:val="00712100"/>
    <w:rsid w:val="007201AD"/>
    <w:rsid w:val="00744B94"/>
    <w:rsid w:val="007661A9"/>
    <w:rsid w:val="007908F4"/>
    <w:rsid w:val="007B5454"/>
    <w:rsid w:val="007C4586"/>
    <w:rsid w:val="00804A8B"/>
    <w:rsid w:val="00852A49"/>
    <w:rsid w:val="00854278"/>
    <w:rsid w:val="00884D66"/>
    <w:rsid w:val="008A22C6"/>
    <w:rsid w:val="008E3E56"/>
    <w:rsid w:val="008F1339"/>
    <w:rsid w:val="00916644"/>
    <w:rsid w:val="00A03A36"/>
    <w:rsid w:val="00A045D5"/>
    <w:rsid w:val="00A114A9"/>
    <w:rsid w:val="00A236D8"/>
    <w:rsid w:val="00A3356D"/>
    <w:rsid w:val="00B3341F"/>
    <w:rsid w:val="00B6674B"/>
    <w:rsid w:val="00B71E82"/>
    <w:rsid w:val="00B73E1C"/>
    <w:rsid w:val="00BA2433"/>
    <w:rsid w:val="00BE33B4"/>
    <w:rsid w:val="00C07F80"/>
    <w:rsid w:val="00D10ABC"/>
    <w:rsid w:val="00D20D97"/>
    <w:rsid w:val="00D40935"/>
    <w:rsid w:val="00D500D1"/>
    <w:rsid w:val="00DA4A59"/>
    <w:rsid w:val="00DE3ADA"/>
    <w:rsid w:val="00DF720C"/>
    <w:rsid w:val="00E04714"/>
    <w:rsid w:val="00E12010"/>
    <w:rsid w:val="00E23043"/>
    <w:rsid w:val="00E30593"/>
    <w:rsid w:val="00E83427"/>
    <w:rsid w:val="00EB0739"/>
    <w:rsid w:val="00EB40C3"/>
    <w:rsid w:val="00ED6165"/>
    <w:rsid w:val="00EF67AA"/>
    <w:rsid w:val="00F23411"/>
    <w:rsid w:val="00F4439B"/>
    <w:rsid w:val="00F81B64"/>
    <w:rsid w:val="00F83D92"/>
    <w:rsid w:val="00F90129"/>
    <w:rsid w:val="00FD3A85"/>
    <w:rsid w:val="00FF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1C"/>
    <w:pPr>
      <w:spacing w:after="240"/>
    </w:pPr>
    <w:rPr>
      <w:rFonts w:eastAsia="Times New Roman" w:cs="Times New Roman"/>
    </w:rPr>
  </w:style>
  <w:style w:type="paragraph" w:styleId="Heading1">
    <w:name w:val="heading 1"/>
    <w:basedOn w:val="Normal"/>
    <w:next w:val="Normal"/>
    <w:link w:val="Heading1Char"/>
    <w:qFormat/>
    <w:rsid w:val="00B73E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1C"/>
    <w:rPr>
      <w:rFonts w:eastAsia="Times New Roman" w:cs="Times New Roman"/>
      <w:b/>
      <w:bCs/>
    </w:rPr>
  </w:style>
  <w:style w:type="character" w:styleId="Hyperlink">
    <w:name w:val="Hyperlink"/>
    <w:unhideWhenUsed/>
    <w:rsid w:val="00B73E1C"/>
    <w:rPr>
      <w:color w:val="0000FF"/>
      <w:u w:val="single"/>
    </w:rPr>
  </w:style>
  <w:style w:type="paragraph" w:styleId="CommentText">
    <w:name w:val="annotation text"/>
    <w:basedOn w:val="Normal"/>
    <w:link w:val="CommentTextChar"/>
    <w:semiHidden/>
    <w:unhideWhenUsed/>
    <w:rsid w:val="00B73E1C"/>
    <w:rPr>
      <w:sz w:val="20"/>
      <w:szCs w:val="20"/>
    </w:rPr>
  </w:style>
  <w:style w:type="character" w:customStyle="1" w:styleId="CommentTextChar">
    <w:name w:val="Comment Text Char"/>
    <w:basedOn w:val="DefaultParagraphFont"/>
    <w:link w:val="CommentText"/>
    <w:semiHidden/>
    <w:rsid w:val="00B73E1C"/>
    <w:rPr>
      <w:rFonts w:eastAsia="Times New Roman" w:cs="Times New Roman"/>
      <w:sz w:val="20"/>
      <w:szCs w:val="20"/>
    </w:rPr>
  </w:style>
  <w:style w:type="paragraph" w:styleId="ListParagraph">
    <w:name w:val="List Paragraph"/>
    <w:basedOn w:val="Normal"/>
    <w:uiPriority w:val="34"/>
    <w:qFormat/>
    <w:rsid w:val="00B73E1C"/>
    <w:pPr>
      <w:ind w:left="720"/>
      <w:contextualSpacing/>
    </w:pPr>
  </w:style>
  <w:style w:type="paragraph" w:styleId="BalloonText">
    <w:name w:val="Balloon Text"/>
    <w:basedOn w:val="Normal"/>
    <w:link w:val="BalloonTextChar"/>
    <w:uiPriority w:val="99"/>
    <w:semiHidden/>
    <w:unhideWhenUsed/>
    <w:rsid w:val="00B73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1C"/>
    <w:rPr>
      <w:rFonts w:ascii="Tahoma" w:eastAsia="Times New Roman" w:hAnsi="Tahoma" w:cs="Tahoma"/>
      <w:sz w:val="16"/>
      <w:szCs w:val="16"/>
    </w:rPr>
  </w:style>
  <w:style w:type="paragraph" w:customStyle="1" w:styleId="Default">
    <w:name w:val="Default"/>
    <w:rsid w:val="0091664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E12010"/>
    <w:pPr>
      <w:tabs>
        <w:tab w:val="center" w:pos="4513"/>
        <w:tab w:val="right" w:pos="9026"/>
      </w:tabs>
      <w:spacing w:after="0"/>
    </w:pPr>
  </w:style>
  <w:style w:type="character" w:customStyle="1" w:styleId="HeaderChar">
    <w:name w:val="Header Char"/>
    <w:basedOn w:val="DefaultParagraphFont"/>
    <w:link w:val="Header"/>
    <w:uiPriority w:val="99"/>
    <w:rsid w:val="00E12010"/>
    <w:rPr>
      <w:rFonts w:eastAsia="Times New Roman" w:cs="Times New Roman"/>
    </w:rPr>
  </w:style>
  <w:style w:type="paragraph" w:styleId="Footer">
    <w:name w:val="footer"/>
    <w:basedOn w:val="Normal"/>
    <w:link w:val="FooterChar"/>
    <w:uiPriority w:val="99"/>
    <w:unhideWhenUsed/>
    <w:rsid w:val="00E12010"/>
    <w:pPr>
      <w:tabs>
        <w:tab w:val="center" w:pos="4513"/>
        <w:tab w:val="right" w:pos="9026"/>
      </w:tabs>
      <w:spacing w:after="0"/>
    </w:pPr>
  </w:style>
  <w:style w:type="character" w:customStyle="1" w:styleId="FooterChar">
    <w:name w:val="Footer Char"/>
    <w:basedOn w:val="DefaultParagraphFont"/>
    <w:link w:val="Footer"/>
    <w:uiPriority w:val="99"/>
    <w:rsid w:val="00E12010"/>
    <w:rPr>
      <w:rFonts w:eastAsia="Times New Roman" w:cs="Times New Roman"/>
    </w:rPr>
  </w:style>
  <w:style w:type="table" w:styleId="TableGrid">
    <w:name w:val="Table Grid"/>
    <w:basedOn w:val="TableNormal"/>
    <w:uiPriority w:val="59"/>
    <w:rsid w:val="0038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0639F9"/>
    <w:rPr>
      <w:vertAlign w:val="superscript"/>
    </w:rPr>
  </w:style>
  <w:style w:type="paragraph" w:styleId="FootnoteText">
    <w:name w:val="footnote text"/>
    <w:basedOn w:val="Normal"/>
    <w:link w:val="FootnoteTextChar"/>
    <w:uiPriority w:val="99"/>
    <w:semiHidden/>
    <w:rsid w:val="000639F9"/>
    <w:pPr>
      <w:spacing w:after="0"/>
    </w:pPr>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semiHidden/>
    <w:rsid w:val="000639F9"/>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1C"/>
    <w:pPr>
      <w:spacing w:after="240"/>
    </w:pPr>
    <w:rPr>
      <w:rFonts w:eastAsia="Times New Roman" w:cs="Times New Roman"/>
    </w:rPr>
  </w:style>
  <w:style w:type="paragraph" w:styleId="Heading1">
    <w:name w:val="heading 1"/>
    <w:basedOn w:val="Normal"/>
    <w:next w:val="Normal"/>
    <w:link w:val="Heading1Char"/>
    <w:qFormat/>
    <w:rsid w:val="00B73E1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1C"/>
    <w:rPr>
      <w:rFonts w:eastAsia="Times New Roman" w:cs="Times New Roman"/>
      <w:b/>
      <w:bCs/>
    </w:rPr>
  </w:style>
  <w:style w:type="character" w:styleId="Hyperlink">
    <w:name w:val="Hyperlink"/>
    <w:unhideWhenUsed/>
    <w:rsid w:val="00B73E1C"/>
    <w:rPr>
      <w:color w:val="0000FF"/>
      <w:u w:val="single"/>
    </w:rPr>
  </w:style>
  <w:style w:type="paragraph" w:styleId="CommentText">
    <w:name w:val="annotation text"/>
    <w:basedOn w:val="Normal"/>
    <w:link w:val="CommentTextChar"/>
    <w:semiHidden/>
    <w:unhideWhenUsed/>
    <w:rsid w:val="00B73E1C"/>
    <w:rPr>
      <w:sz w:val="20"/>
      <w:szCs w:val="20"/>
    </w:rPr>
  </w:style>
  <w:style w:type="character" w:customStyle="1" w:styleId="CommentTextChar">
    <w:name w:val="Comment Text Char"/>
    <w:basedOn w:val="DefaultParagraphFont"/>
    <w:link w:val="CommentText"/>
    <w:semiHidden/>
    <w:rsid w:val="00B73E1C"/>
    <w:rPr>
      <w:rFonts w:eastAsia="Times New Roman" w:cs="Times New Roman"/>
      <w:sz w:val="20"/>
      <w:szCs w:val="20"/>
    </w:rPr>
  </w:style>
  <w:style w:type="paragraph" w:styleId="ListParagraph">
    <w:name w:val="List Paragraph"/>
    <w:basedOn w:val="Normal"/>
    <w:uiPriority w:val="34"/>
    <w:qFormat/>
    <w:rsid w:val="00B73E1C"/>
    <w:pPr>
      <w:ind w:left="720"/>
      <w:contextualSpacing/>
    </w:pPr>
  </w:style>
  <w:style w:type="paragraph" w:styleId="BalloonText">
    <w:name w:val="Balloon Text"/>
    <w:basedOn w:val="Normal"/>
    <w:link w:val="BalloonTextChar"/>
    <w:uiPriority w:val="99"/>
    <w:semiHidden/>
    <w:unhideWhenUsed/>
    <w:rsid w:val="00B73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1C"/>
    <w:rPr>
      <w:rFonts w:ascii="Tahoma" w:eastAsia="Times New Roman" w:hAnsi="Tahoma" w:cs="Tahoma"/>
      <w:sz w:val="16"/>
      <w:szCs w:val="16"/>
    </w:rPr>
  </w:style>
  <w:style w:type="paragraph" w:customStyle="1" w:styleId="Default">
    <w:name w:val="Default"/>
    <w:rsid w:val="00916644"/>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E12010"/>
    <w:pPr>
      <w:tabs>
        <w:tab w:val="center" w:pos="4513"/>
        <w:tab w:val="right" w:pos="9026"/>
      </w:tabs>
      <w:spacing w:after="0"/>
    </w:pPr>
  </w:style>
  <w:style w:type="character" w:customStyle="1" w:styleId="HeaderChar">
    <w:name w:val="Header Char"/>
    <w:basedOn w:val="DefaultParagraphFont"/>
    <w:link w:val="Header"/>
    <w:uiPriority w:val="99"/>
    <w:rsid w:val="00E12010"/>
    <w:rPr>
      <w:rFonts w:eastAsia="Times New Roman" w:cs="Times New Roman"/>
    </w:rPr>
  </w:style>
  <w:style w:type="paragraph" w:styleId="Footer">
    <w:name w:val="footer"/>
    <w:basedOn w:val="Normal"/>
    <w:link w:val="FooterChar"/>
    <w:uiPriority w:val="99"/>
    <w:unhideWhenUsed/>
    <w:rsid w:val="00E12010"/>
    <w:pPr>
      <w:tabs>
        <w:tab w:val="center" w:pos="4513"/>
        <w:tab w:val="right" w:pos="9026"/>
      </w:tabs>
      <w:spacing w:after="0"/>
    </w:pPr>
  </w:style>
  <w:style w:type="character" w:customStyle="1" w:styleId="FooterChar">
    <w:name w:val="Footer Char"/>
    <w:basedOn w:val="DefaultParagraphFont"/>
    <w:link w:val="Footer"/>
    <w:uiPriority w:val="99"/>
    <w:rsid w:val="00E12010"/>
    <w:rPr>
      <w:rFonts w:eastAsia="Times New Roman" w:cs="Times New Roman"/>
    </w:rPr>
  </w:style>
  <w:style w:type="table" w:styleId="TableGrid">
    <w:name w:val="Table Grid"/>
    <w:basedOn w:val="TableNormal"/>
    <w:uiPriority w:val="59"/>
    <w:rsid w:val="0038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0639F9"/>
    <w:rPr>
      <w:vertAlign w:val="superscript"/>
    </w:rPr>
  </w:style>
  <w:style w:type="paragraph" w:styleId="FootnoteText">
    <w:name w:val="footnote text"/>
    <w:basedOn w:val="Normal"/>
    <w:link w:val="FootnoteTextChar"/>
    <w:uiPriority w:val="99"/>
    <w:semiHidden/>
    <w:rsid w:val="000639F9"/>
    <w:pPr>
      <w:spacing w:after="0"/>
    </w:pPr>
    <w:rPr>
      <w:rFonts w:ascii="Times New Roman" w:hAnsi="Times New Roman"/>
      <w:sz w:val="20"/>
      <w:szCs w:val="20"/>
      <w:lang w:eastAsia="en-GB"/>
    </w:rPr>
  </w:style>
  <w:style w:type="character" w:customStyle="1" w:styleId="FootnoteTextChar">
    <w:name w:val="Footnote Text Char"/>
    <w:basedOn w:val="DefaultParagraphFont"/>
    <w:link w:val="FootnoteText"/>
    <w:uiPriority w:val="99"/>
    <w:semiHidden/>
    <w:rsid w:val="000639F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6134">
      <w:bodyDiv w:val="1"/>
      <w:marLeft w:val="0"/>
      <w:marRight w:val="0"/>
      <w:marTop w:val="0"/>
      <w:marBottom w:val="0"/>
      <w:divBdr>
        <w:top w:val="none" w:sz="0" w:space="0" w:color="auto"/>
        <w:left w:val="none" w:sz="0" w:space="0" w:color="auto"/>
        <w:bottom w:val="none" w:sz="0" w:space="0" w:color="auto"/>
        <w:right w:val="none" w:sz="0" w:space="0" w:color="auto"/>
      </w:divBdr>
    </w:div>
    <w:div w:id="1162895207">
      <w:bodyDiv w:val="1"/>
      <w:marLeft w:val="0"/>
      <w:marRight w:val="0"/>
      <w:marTop w:val="0"/>
      <w:marBottom w:val="0"/>
      <w:divBdr>
        <w:top w:val="none" w:sz="0" w:space="0" w:color="auto"/>
        <w:left w:val="none" w:sz="0" w:space="0" w:color="auto"/>
        <w:bottom w:val="none" w:sz="0" w:space="0" w:color="auto"/>
        <w:right w:val="none" w:sz="0" w:space="0" w:color="auto"/>
      </w:divBdr>
    </w:div>
    <w:div w:id="17364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oxfordshire-growth-deal-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xfordshirelep.org.uk/cms/sites/lep/files/folders/Strategic%20Economic%20Plan/Oxford_Strategic_Economic_Pla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shirelep.org.uk/cms/sites/lep/files/folders/Strategic%20Economic%20Plan/ESIF_Final_31_May_201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xfordshirel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E87F-AA5A-46D9-BF8D-BFAAD4DD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DD1E992C</Template>
  <TotalTime>4</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THOMPSON Jennifer</cp:lastModifiedBy>
  <cp:revision>3</cp:revision>
  <cp:lastPrinted>2015-06-15T11:39:00Z</cp:lastPrinted>
  <dcterms:created xsi:type="dcterms:W3CDTF">2016-01-26T16:02:00Z</dcterms:created>
  <dcterms:modified xsi:type="dcterms:W3CDTF">2016-01-28T12:14:00Z</dcterms:modified>
</cp:coreProperties>
</file>